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szCs w:val="40"/>
        </w:rPr>
      </w:pPr>
      <w:r>
        <w:rPr>
          <w:rFonts w:hint="eastAsia" w:ascii="黑体" w:hAnsi="黑体" w:eastAsia="黑体" w:cs="楷体"/>
          <w:szCs w:val="40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四川省教育厅首届全国教材建设奖初评推荐名单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优秀教材（基础教育类）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10"/>
        <w:gridCol w:w="7274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教材类别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教材名称及申报册次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国家课程教材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小学《英语》三年级上下册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四川教育出版社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国家课程教材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《信息技术》七年级上下册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四川教育出版社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地方课程教材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《生命●生态●安全》四至六年级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四川教育出版社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地方课程教材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《可爱的四川》七年级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四川教育出版社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地方课程教材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《家庭●社会●法治》八至九年级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四川民族出版社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Cs w:val="32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Cs w:val="32"/>
        </w:rPr>
      </w:pPr>
      <w:r>
        <w:rPr>
          <w:rFonts w:ascii="方正小标宋简体" w:hAnsi="方正小标宋简体" w:eastAsia="方正小标宋简体" w:cs="方正小标宋简体"/>
          <w:szCs w:val="32"/>
        </w:rPr>
        <w:br w:type="page"/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优秀教材（职业教育及继续教育类）</w:t>
      </w:r>
    </w:p>
    <w:tbl>
      <w:tblPr>
        <w:tblStyle w:val="5"/>
        <w:tblW w:w="13357" w:type="dxa"/>
        <w:tblInd w:w="-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095"/>
        <w:gridCol w:w="5879"/>
        <w:gridCol w:w="358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教材名称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第一作者姓名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中职类</w:t>
            </w: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计算机应用基础（第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版Windows 10+Office 2016）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四川省商务学校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张巍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电子商务基础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成都市财贸职高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程越敏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中药学基础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四川省食品药品学校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李承革、封银漫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0-3婴幼儿保育与教育(第二版）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成都市现代职业技术学校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周昶,习宁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手工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泸州市教育局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王琬鹭,刘正莲,曾艳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汽车发动机构造与维修一体化实训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资阳市教育和体育局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李婷曦 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机械常识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成都市技师学院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苏学辉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机械基础（少学时）（第二版）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四川省交通运输职业学校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刘新江,袁亮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电子技术基础与技能项目教程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宜宾市教育和体育局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周波、徐文平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地方菜系开发与制作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攀枝花市经贸旅游学校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出纳实务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成都市财贸职高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高职类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高职类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"/>
                <w:szCs w:val="2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"/>
                <w:szCs w:val="2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6"/>
                <w:szCs w:val="6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高职类</w:t>
            </w: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建筑结构（第四版）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四川建筑职业技术学院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胡兴福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汽车底盘构造与维修（第四版）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四川交通职业技术学院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周林福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冲压模具设计与制造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成都航空职业技术学院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刘建超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典型焊接接头电弧焊实作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四川工程职业技术学院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杨跃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机械设备维修技术（第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版）（附微课视频）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四川工程职业技术学院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吴先文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数控加工工艺与编程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四川工程职业技术学院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陈洪涛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建筑施工技术（第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版）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四川建筑职业技术学院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李辉,黄敏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工程造价管理(第四版)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四川建筑职业技术学院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袁建新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汽车机械基础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四川交通职业技术学院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凤勇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冲压工艺与模具设计（第三版）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成都工业学院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成虹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通信电源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四川邮电职业技术学院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漆逢吉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机械制造技术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成都航空职业技术学院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王晓霞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学前儿童卫生与保健（第二版）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泸州职业技术学院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唐林兰,于桂萍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《作物病虫害防治》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第二版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宜宾职业技术学院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吴郁魂,刘丽云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护理管理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四川中医药高等专科学校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段艮芳,王静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新职业英语素质篇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成都纺织高等专科学校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王朝晖,廖国强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四川幼儿师范高等专科学校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张晓嘉,魏明坤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审计实务（含审计综合实训）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四川财经职业学院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周海彬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新理念职场英语（English for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International Communication）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西南民族大学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蒋晖,石坚,李超,熊珂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人际沟通与交往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雅安职业技术学院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李燕,王静,吴玲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社区康复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四川卫生康复职业学院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章荣,张慧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导游业务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成都纺织高等专科学校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叶娅丽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企业出纳实务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张瑞芳,左桂云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文献信息检索实用教程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成都航空职业技术学院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陈萍秀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旅游市场营销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赖斌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中国旅游地理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乐山职业技术学院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刘琼英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继续教育类</w:t>
            </w: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计算机应用基础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西南科技大学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朱东鸣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结构力学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西南交通大学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刘蓉华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计算机应用基础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西南交通大学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李有梅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医用化学（第</w:t>
            </w: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版）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川北医学院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陈莲惠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信息技术与教育技术应用基础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成都广播电视大学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杨帆、程罡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市场营销学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四川农业大学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40"/>
              </w:rPr>
              <w:t>杨锦秀、张劲松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br w:type="page"/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优秀教材（高等教育类）</w:t>
      </w:r>
    </w:p>
    <w:tbl>
      <w:tblPr>
        <w:tblStyle w:val="5"/>
        <w:tblW w:w="14174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64"/>
        <w:gridCol w:w="5864"/>
        <w:gridCol w:w="3331"/>
        <w:gridCol w:w="2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分组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第一作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文科组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赵德武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政治经济学（第五版）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刘诗白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陈维政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计量经济学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庞  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中国美术史纲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黄宗贤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寿险精算 （第三版）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卓  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信息管理导论（第</w:t>
            </w: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党跃武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货币金融学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张红伟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财务管理学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郭复初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运筹学（第四版）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徐玖平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财政学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马  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大学体验英语（第四版）综合教程（提高目标上册）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伍忠杰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语文课程与教学新论（第</w:t>
            </w: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刘永康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农村法治理论与实务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庄天慧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文科组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创新大学英语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吕长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理工组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医学细胞生物学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胡火珍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水力学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许唯临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材料力学（I）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材料力学（II）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孙训方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材料科学与工程基础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赵长生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高等数学(物理类专业用)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第一册、第二册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四川大学数学学院高等数学教研室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线性代数与空间解析几何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（第五版）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黄廷祝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光学（第三版）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郭永康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电力系统分析理论（第三版）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刘天琪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普通生物学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林宏辉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电磁场与电磁波(第</w:t>
            </w: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杨显清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信息光学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苏显渝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解析几何教程（第三版）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廖华奎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塑料成型工艺学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杨鸣波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理工组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理工组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大学化学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胡常伟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随机信号分析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李晓峰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工程地质分析原理（第四版）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张倬元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微电子器件（第四版）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陈星弼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工程力学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沈火明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电磁场与电磁波； Electromagnetic Fields--andWaves； 电磁场与电磁波数字课程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杨儒贵                  刘运林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土木工程地质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胡厚田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计算机组成原理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纪禄平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电路分析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胡翔骏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鞣制化学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陈武勇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数字逻辑设计基础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何建新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铁路选线设计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易思蓉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高电压技术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吴广宁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天然气工程（第二版）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李士伦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化学反应工程（第三版）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梁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无机及分析化学（第</w:t>
            </w: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钟国清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构造地质学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李忠权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电子与光电子材料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朱建国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敏感材料与传感器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蒋亚东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农医组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诊断学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万学红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针灸学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梁繁荣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牙体牙髓病学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周学东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临床流行病学与循证医学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刘续宝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医学微生物学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李明远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病理学与病理生理学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步  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口腔正畸学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赵志河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医学遗传学（第</w:t>
            </w: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梁素华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动物营养学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陈代文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临床中药学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张廷模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中药药理学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彭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生物统计附试验设计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明道绪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中医眼科学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成都中医药大学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段俊国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研究生组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循证医学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李幼平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文学概论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曹顺庆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唇腭裂与面裂畸形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石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印制电路与印制电子先进技术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（上、下册）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何  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衍生金融工具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王晋忠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计算电磁学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王秉中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油气藏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开发与开采技术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郭建春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文科组（备选）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应用时间序列分析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西南财经大学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史代敏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英语写作——句子 段落 篇章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石  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名家治史：方法与示范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罗志田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理工组（备选）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无机及分析化学(第三版)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四川农业大学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赵茂俊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铁路行车组织（第二版）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彭其渊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钻井与完井工程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西南石油大学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陈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土木工程制图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西南交通大学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卢传贤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农医组（备选）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中医养生学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成都中医药大学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马烈光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口腔黏膜病学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陈谦明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儿科学（第</w:t>
            </w: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母得志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医学影像成像理论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四川大学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李真林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  <w:lang w:val="en-US" w:eastAsia="zh-CN"/>
              </w:rPr>
              <w:t>研究生组（备选）</w:t>
            </w: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油气藏数值模拟基本原理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（第二版）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西南石油大学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张烈辉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知识产权（第二版）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电子科技大学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肖延高</w:t>
            </w:r>
          </w:p>
        </w:tc>
      </w:tr>
    </w:tbl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br w:type="page"/>
      </w:r>
    </w:p>
    <w:p>
      <w:pPr>
        <w:spacing w:line="52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先进集体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740"/>
        <w:gridCol w:w="9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7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类别</w:t>
            </w:r>
          </w:p>
        </w:tc>
        <w:tc>
          <w:tcPr>
            <w:tcW w:w="9869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7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出版发行</w:t>
            </w:r>
          </w:p>
        </w:tc>
        <w:tc>
          <w:tcPr>
            <w:tcW w:w="986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新华文轩出版传媒股份有限公司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7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基础教育</w:t>
            </w:r>
          </w:p>
        </w:tc>
        <w:tc>
          <w:tcPr>
            <w:tcW w:w="986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四川省教育科学研究院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7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职业院校</w:t>
            </w:r>
          </w:p>
        </w:tc>
        <w:tc>
          <w:tcPr>
            <w:tcW w:w="9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四川建筑职业技术学院教务处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7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4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普通高校</w:t>
            </w:r>
          </w:p>
        </w:tc>
        <w:tc>
          <w:tcPr>
            <w:tcW w:w="9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四川师范大学文学院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7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5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川北医学院教务处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7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6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西南石油大学石油与天然气工程学院</w:t>
            </w:r>
          </w:p>
        </w:tc>
      </w:tr>
    </w:tbl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br w:type="page"/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先进个人</w:t>
      </w:r>
    </w:p>
    <w:tbl>
      <w:tblPr>
        <w:tblStyle w:val="5"/>
        <w:tblW w:w="13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740"/>
        <w:gridCol w:w="2219"/>
        <w:gridCol w:w="8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17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出版发行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徐露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tabs>
                <w:tab w:val="left" w:pos="2593"/>
                <w:tab w:val="center" w:pos="3330"/>
              </w:tabs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四川教育出版社有限公司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基础教育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焦蒲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四川省教育科学研究院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职业院校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李辉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四川建筑职业技术学院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4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张先庚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5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吴先文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6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钟辉云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四川卫生康复职业学院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7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普通高校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拉都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四川民族学院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8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郝勤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成都体育学院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9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李士伦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彭必友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季辉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四川省成都工业学院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王光西</w:t>
            </w:r>
          </w:p>
        </w:tc>
        <w:tc>
          <w:tcPr>
            <w:tcW w:w="817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sz w:val="28"/>
                <w:szCs w:val="28"/>
              </w:rPr>
              <w:t>西南医科大学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5" w:header="1701" w:footer="158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725C6"/>
    <w:rsid w:val="053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Theme="minorHAnsi" w:hAnsiTheme="minorHAnsi" w:eastAsiaTheme="minorEastAsia" w:cstheme="minorBidi"/>
      <w:b/>
      <w:sz w:val="24"/>
      <w:szCs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2021-01-11T09:40:00Z</dcterms:created>
  <dc:creator>/:+笨笨</dc:creator>
  <cp:lastModifiedBy>/:+笨笨</cp:lastModifiedBy>
  <dcterms:modified xsi:type="dcterms:W3CDTF">2021-01-11T09:48:56Z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