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atLeast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年四川省中小学实验教学说课活动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优秀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组织奖名单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成都市教育局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广安市教育体育局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绵阳市教育和体育局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泸州市教育和体育局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南充市教育和体育局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德阳市教育局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内江市教育局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自贡市教育和体育局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达州市教育局</w:t>
      </w:r>
      <w:bookmarkStart w:id="0" w:name="_GoBack"/>
      <w:bookmarkEnd w:id="0"/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雅安市教育局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阿坝藏族羌族自治州教育局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攀枝花市教育体育局</w:t>
      </w:r>
    </w:p>
    <w:p>
      <w:pPr>
        <w:jc w:val="center"/>
      </w:pPr>
      <w:r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  <w:t>宜宾市教育和体育局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10" w:usb3="00000000" w:csb0="0004000A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0D47"/>
    <w:rsid w:val="6E7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2021-12-27T08:35:00Z</dcterms:created>
  <dc:creator>Krub  Vinder </dc:creator>
  <cp:lastModifiedBy>Krub  Vinder </cp:lastModifiedBy>
  <dcterms:modified xsi:type="dcterms:W3CDTF">2021-12-27T08:35:32Z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CA55A66136FC42F7B8B76B606803705C</vt:lpwstr>
  </property>
</Properties>
</file>