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方正黑体_GBK"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val="en-US" w:eastAsia="zh-CN"/>
        </w:rPr>
        <w:t>省级推荐对象</w:t>
      </w:r>
      <w:r>
        <w:rPr>
          <w:rFonts w:hint="default" w:ascii="Times New Roman" w:hAnsi="Times New Roman" w:eastAsia="方正小标宋_GBK" w:cs="Times New Roman"/>
          <w:b w:val="0"/>
          <w:bCs w:val="0"/>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楷体简体" w:cs="Times New Roman"/>
          <w:sz w:val="32"/>
          <w:szCs w:val="32"/>
          <w:lang w:eastAsia="zh-CN"/>
        </w:rPr>
        <w:t>（排名不分先后）</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高校思想政治工作精品项目（20</w:t>
      </w:r>
      <w:r>
        <w:rPr>
          <w:rFonts w:hint="eastAsia" w:ascii="Times New Roman" w:hAnsi="Times New Roman" w:eastAsia="方正黑体_GBK" w:cs="Times New Roman"/>
          <w:sz w:val="32"/>
          <w:szCs w:val="32"/>
          <w:lang w:val="en-US" w:eastAsia="zh-CN"/>
        </w:rPr>
        <w:t>项</w:t>
      </w:r>
      <w:r>
        <w:rPr>
          <w:rFonts w:hint="default" w:ascii="Times New Roman" w:hAnsi="Times New Roman" w:eastAsia="方正黑体_GBK" w:cs="Times New Roman"/>
          <w:sz w:val="32"/>
          <w:szCs w:val="32"/>
          <w:lang w:val="en-US" w:eastAsia="zh-CN"/>
        </w:rPr>
        <w:t>）</w:t>
      </w:r>
    </w:p>
    <w:tbl>
      <w:tblPr>
        <w:tblStyle w:val="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0"/>
        <w:gridCol w:w="1605"/>
        <w:gridCol w:w="4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学  校</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项目类型</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“红动1小时”红色文化实践育人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电子科技大学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重价值引领，育领军人才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西南财经大学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育爱国心 励强国志 践报国行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西南交通大学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组织育人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实施“761”综合素质提升工程创新构建第二课堂育人体系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面向国家重大战略需求的研究生实践教学与思政教育一体化育人模式构建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西华大学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课程育人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电类基础金课“三阶递进”课程思政建设与研究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四川农业大学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资助育人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“精准帮扶”视域下发展型资助育人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成都中医药大学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网络育人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“飞说微语”网络育人体系的构建与实践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四川师范大学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心理育人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坚持育心与育人相结合，构建未来教师心理素质提升体系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西华师范大学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课程育人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思政课程与课程思政协同育人模式的探索与实践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内江师范学院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课程育人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基于乡村教师队伍建设的小学教育专业课程育人模式改革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乐山师范学院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优秀传统文化（井研农民画）传承与推广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宜宾学院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课程育人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美生美师、育人育才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攀枝花学院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高校图书馆思政教育立体化育人模式的构建与创新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果筐学堂乡村教育实践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成都工业学院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以特色校本红色文化培育时代新人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四川航天职业技术学院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树航天文化品牌，构立体育人体系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四川护理职业学院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心理育人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构建”护心育才”1441心理育人模式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成都工贸职业技术学院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构建“双讲堂”工匠文化宣讲体系，筑牢高素质技术技能人才思想根基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实践育人</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青年学子牵手川藏新天路旅游廊道行</w:t>
            </w:r>
          </w:p>
        </w:tc>
      </w:tr>
    </w:tbl>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高校思想政治工作中青年骨干队伍建设项目（</w:t>
      </w:r>
      <w:r>
        <w:rPr>
          <w:rFonts w:hint="eastAsia" w:ascii="Times New Roman" w:hAnsi="Times New Roman" w:eastAsia="方正黑体_GBK" w:cs="Times New Roman"/>
          <w:sz w:val="32"/>
          <w:szCs w:val="32"/>
          <w:lang w:val="en-US" w:eastAsia="zh-CN"/>
        </w:rPr>
        <w:t>7项</w:t>
      </w:r>
      <w:r>
        <w:rPr>
          <w:rFonts w:hint="default" w:ascii="Times New Roman" w:hAnsi="Times New Roman" w:eastAsia="方正黑体_GBK" w:cs="Times New Roman"/>
          <w:sz w:val="32"/>
          <w:szCs w:val="32"/>
          <w:lang w:val="en-US" w:eastAsia="zh-CN"/>
        </w:rPr>
        <w:t>）</w:t>
      </w:r>
    </w:p>
    <w:tbl>
      <w:tblPr>
        <w:tblStyle w:val="3"/>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5"/>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学  校</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申请人姓名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徐海鑫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电子科技大学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  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西南财经大学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王偞婷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西南石油大学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  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成都理工大学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付婷婷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四川师范大学</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胡尚峰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四川旅游学院</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白  洁</w:t>
            </w: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firstLine="1920" w:firstLineChars="6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高校原创文化精品推广行动计划（</w:t>
      </w:r>
      <w:r>
        <w:rPr>
          <w:rFonts w:hint="eastAsia" w:ascii="Times New Roman" w:hAnsi="Times New Roman" w:eastAsia="方正黑体_GBK" w:cs="Times New Roman"/>
          <w:sz w:val="32"/>
          <w:szCs w:val="32"/>
          <w:lang w:val="en-US" w:eastAsia="zh-CN"/>
        </w:rPr>
        <w:t>7项</w:t>
      </w:r>
      <w:r>
        <w:rPr>
          <w:rFonts w:hint="default" w:ascii="Times New Roman" w:hAnsi="Times New Roman" w:eastAsia="方正黑体_GBK" w:cs="Times New Roman"/>
          <w:sz w:val="32"/>
          <w:szCs w:val="32"/>
          <w:lang w:val="en-US" w:eastAsia="zh-CN"/>
        </w:rPr>
        <w:t>）</w:t>
      </w:r>
    </w:p>
    <w:tbl>
      <w:tblPr>
        <w:tblStyle w:val="3"/>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5"/>
        <w:gridCol w:w="1875"/>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学  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作品类型</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作品名称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电子科技大学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舞台剧</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川剧大幕戏《小萝卜头》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西南财经大学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舞台剧</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《光华》校史剧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成都理工大学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广播剧</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《地质百年》系列广播剧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四川师范大学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音</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乐</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大型民族管弦乐与合唱组歌</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《红军长征过四川》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内江师范学院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舞台剧</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《红胡杨》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宜宾学院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舞</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蹈</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《风雪赵一曼》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成都师范学院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影</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“三有四乐”中华诗词微电影</w:t>
            </w:r>
          </w:p>
        </w:tc>
      </w:tr>
    </w:tbl>
    <w:p>
      <w:pPr>
        <w:keepNext w:val="0"/>
        <w:keepLines w:val="0"/>
        <w:pageBreakBefore w:val="0"/>
        <w:widowControl w:val="0"/>
        <w:kinsoku/>
        <w:overflowPunct/>
        <w:topLinePunct w:val="0"/>
        <w:autoSpaceDE/>
        <w:autoSpaceDN/>
        <w:bidi w:val="0"/>
        <w:adjustRightInd/>
        <w:snapToGrid/>
        <w:spacing w:line="560" w:lineRule="exact"/>
        <w:textAlignment w:val="auto"/>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高校思想政治工作研究文库（</w:t>
      </w:r>
      <w:r>
        <w:rPr>
          <w:rFonts w:hint="eastAsia" w:ascii="Times New Roman" w:hAnsi="Times New Roman" w:eastAsia="方正黑体_GBK" w:cs="Times New Roman"/>
          <w:sz w:val="32"/>
          <w:szCs w:val="32"/>
          <w:lang w:val="en-US" w:eastAsia="zh-CN"/>
        </w:rPr>
        <w:t>6项</w:t>
      </w:r>
      <w:r>
        <w:rPr>
          <w:rFonts w:hint="default" w:ascii="Times New Roman" w:hAnsi="Times New Roman" w:eastAsia="方正黑体_GBK" w:cs="Times New Roman"/>
          <w:sz w:val="32"/>
          <w:szCs w:val="32"/>
          <w:lang w:val="en-US" w:eastAsia="zh-CN"/>
        </w:rPr>
        <w:t>）</w:t>
      </w:r>
    </w:p>
    <w:tbl>
      <w:tblPr>
        <w:tblStyle w:val="3"/>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0"/>
        <w:gridCol w:w="3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学  校</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申请人姓名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四川大学</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李栓久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电子科技大学</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商继政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西南财经大学</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唐晓勇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中国民用航空飞行学院</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汪庆军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乐山师范学院</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  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成都航空职业技术学院</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陈玉华</w:t>
            </w: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firstLine="1920" w:firstLineChars="600"/>
        <w:jc w:val="left"/>
        <w:textAlignment w:val="auto"/>
        <w:rPr>
          <w:rFonts w:hint="eastAsia" w:ascii="方正仿宋_GBK" w:hAnsi="方正仿宋_GBK" w:eastAsia="方正仿宋_GBK" w:cs="方正仿宋_GBK"/>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B02E5"/>
    <w:rsid w:val="195B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2"/>
    <w:basedOn w:val="1"/>
    <w:next w:val="1"/>
    <w:qFormat/>
    <w:uiPriority w:val="99"/>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2021-09-18T07:29:00Z</dcterms:created>
  <dc:creator>甜又咸</dc:creator>
  <cp:lastModifiedBy>甜又咸</cp:lastModifiedBy>
  <dcterms:modified xsi:type="dcterms:W3CDTF">2021-09-18T07:29:20Z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45C41122A6C7447D95CADB2251A47C8F</vt:lpwstr>
  </property>
</Properties>
</file>