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olor w:val="000000" w:themeColor="text1"/>
          <w:szCs w:val="32"/>
          <w14:textFill>
            <w14:solidFill>
              <w14:schemeClr w14:val="tx1"/>
            </w14:solidFill>
          </w14:textFill>
        </w:rPr>
      </w:pPr>
      <w:r>
        <w:rPr>
          <w:rFonts w:ascii="Times New Roman" w:hAnsi="Times New Roman" w:eastAsia="黑体"/>
          <w:color w:val="000000" w:themeColor="text1"/>
          <w:szCs w:val="32"/>
          <w14:textFill>
            <w14:solidFill>
              <w14:schemeClr w14:val="tx1"/>
            </w14:solidFill>
          </w14:textFill>
        </w:rPr>
        <w:t>附件2</w:t>
      </w:r>
    </w:p>
    <w:p>
      <w:pPr>
        <w:spacing w:line="700" w:lineRule="exact"/>
        <w:jc w:val="center"/>
        <w:rPr>
          <w:rFonts w:ascii="方正小标宋_GBK" w:hAnsi="Times New Roman" w:eastAsia="方正小标宋_GBK"/>
          <w:color w:val="000000" w:themeColor="text1"/>
          <w:sz w:val="44"/>
          <w:szCs w:val="40"/>
          <w14:textFill>
            <w14:solidFill>
              <w14:schemeClr w14:val="tx1"/>
            </w14:solidFill>
          </w14:textFill>
        </w:rPr>
      </w:pPr>
      <w:r>
        <w:rPr>
          <w:rFonts w:ascii="方正小标宋_GBK" w:hAnsi="Times New Roman" w:eastAsia="方正小标宋_GBK"/>
          <w:color w:val="000000" w:themeColor="text1"/>
          <w:sz w:val="44"/>
          <w:szCs w:val="40"/>
          <w14:textFill>
            <w14:solidFill>
              <w14:schemeClr w14:val="tx1"/>
            </w14:solidFill>
          </w14:textFill>
        </w:rPr>
        <w:t>四川省2022年国家级教学成果奖职业教育拟推荐名单</w:t>
      </w:r>
    </w:p>
    <w:p>
      <w:pPr>
        <w:tabs>
          <w:tab w:val="left" w:pos="7843"/>
        </w:tabs>
        <w:spacing w:line="700" w:lineRule="exact"/>
        <w:jc w:val="center"/>
        <w:rPr>
          <w:rFonts w:ascii="Times New Roman" w:hAnsi="Times New Roman" w:eastAsia="楷体_GB2312"/>
          <w:color w:val="000000" w:themeColor="text1"/>
          <w:szCs w:val="32"/>
          <w14:textFill>
            <w14:solidFill>
              <w14:schemeClr w14:val="tx1"/>
            </w14:solidFill>
          </w14:textFill>
        </w:rPr>
      </w:pPr>
      <w:r>
        <w:rPr>
          <w:rFonts w:ascii="Times New Roman" w:hAnsi="Times New Roman" w:eastAsia="楷体_GB2312"/>
          <w:color w:val="000000" w:themeColor="text1"/>
          <w:szCs w:val="32"/>
          <w14:textFill>
            <w14:solidFill>
              <w14:schemeClr w14:val="tx1"/>
            </w14:solidFill>
          </w14:textFill>
        </w:rPr>
        <w:t>（中等职业教育，共19项）</w:t>
      </w:r>
    </w:p>
    <w:p>
      <w:pPr>
        <w:tabs>
          <w:tab w:val="left" w:pos="7843"/>
        </w:tabs>
        <w:ind w:firstLine="640" w:firstLineChars="200"/>
        <w:rPr>
          <w:rFonts w:ascii="Times New Roman" w:hAnsi="Times New Roman"/>
          <w:szCs w:val="32"/>
        </w:rPr>
      </w:pPr>
    </w:p>
    <w:tbl>
      <w:tblPr>
        <w:tblStyle w:val="5"/>
        <w:tblW w:w="47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3264"/>
        <w:gridCol w:w="4499"/>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279" w:type="pct"/>
            <w:shd w:val="clear" w:color="000000" w:fill="FFFFFF"/>
            <w:vAlign w:val="center"/>
          </w:tcPr>
          <w:p>
            <w:pPr>
              <w:widowControl/>
              <w:jc w:val="center"/>
              <w:rPr>
                <w:rFonts w:ascii="楷体_GB2312" w:hAnsi="Times New Roman" w:eastAsia="楷体_GB2312"/>
                <w:b/>
                <w:bCs/>
                <w:color w:val="000000" w:themeColor="text1"/>
                <w:kern w:val="0"/>
                <w:sz w:val="22"/>
                <w14:textFill>
                  <w14:solidFill>
                    <w14:schemeClr w14:val="tx1"/>
                  </w14:solidFill>
                </w14:textFill>
              </w:rPr>
            </w:pPr>
            <w:r>
              <w:rPr>
                <w:rFonts w:hint="eastAsia" w:ascii="楷体_GB2312" w:hAnsi="Times New Roman" w:eastAsia="楷体_GB2312"/>
                <w:b/>
                <w:bCs/>
                <w:color w:val="000000" w:themeColor="text1"/>
                <w:kern w:val="0"/>
                <w:sz w:val="22"/>
                <w14:textFill>
                  <w14:solidFill>
                    <w14:schemeClr w14:val="tx1"/>
                  </w14:solidFill>
                </w14:textFill>
              </w:rPr>
              <w:t>序号</w:t>
            </w:r>
          </w:p>
        </w:tc>
        <w:tc>
          <w:tcPr>
            <w:tcW w:w="1235" w:type="pct"/>
            <w:shd w:val="clear" w:color="000000" w:fill="FFFFFF"/>
            <w:vAlign w:val="center"/>
          </w:tcPr>
          <w:p>
            <w:pPr>
              <w:widowControl/>
              <w:jc w:val="center"/>
              <w:rPr>
                <w:rFonts w:ascii="楷体_GB2312" w:hAnsi="Times New Roman" w:eastAsia="楷体_GB2312"/>
                <w:b/>
                <w:bCs/>
                <w:color w:val="000000" w:themeColor="text1"/>
                <w:kern w:val="0"/>
                <w:sz w:val="22"/>
                <w14:textFill>
                  <w14:solidFill>
                    <w14:schemeClr w14:val="tx1"/>
                  </w14:solidFill>
                </w14:textFill>
              </w:rPr>
            </w:pPr>
            <w:r>
              <w:rPr>
                <w:rFonts w:hint="eastAsia" w:ascii="楷体_GB2312" w:hAnsi="Times New Roman" w:eastAsia="楷体_GB2312"/>
                <w:b/>
                <w:bCs/>
                <w:color w:val="000000" w:themeColor="text1"/>
                <w:kern w:val="0"/>
                <w:sz w:val="22"/>
                <w14:textFill>
                  <w14:solidFill>
                    <w14:schemeClr w14:val="tx1"/>
                  </w14:solidFill>
                </w14:textFill>
              </w:rPr>
              <w:t>成果名称</w:t>
            </w:r>
          </w:p>
        </w:tc>
        <w:tc>
          <w:tcPr>
            <w:tcW w:w="1702" w:type="pct"/>
            <w:shd w:val="clear" w:color="000000" w:fill="FFFFFF"/>
            <w:vAlign w:val="center"/>
          </w:tcPr>
          <w:p>
            <w:pPr>
              <w:widowControl/>
              <w:jc w:val="center"/>
              <w:rPr>
                <w:rFonts w:ascii="楷体_GB2312" w:hAnsi="Times New Roman" w:eastAsia="楷体_GB2312"/>
                <w:b/>
                <w:bCs/>
                <w:color w:val="000000" w:themeColor="text1"/>
                <w:kern w:val="0"/>
                <w:sz w:val="22"/>
                <w14:textFill>
                  <w14:solidFill>
                    <w14:schemeClr w14:val="tx1"/>
                  </w14:solidFill>
                </w14:textFill>
              </w:rPr>
            </w:pPr>
            <w:r>
              <w:rPr>
                <w:rFonts w:hint="eastAsia" w:ascii="楷体_GB2312" w:hAnsi="Times New Roman" w:eastAsia="楷体_GB2312"/>
                <w:b/>
                <w:bCs/>
                <w:color w:val="000000" w:themeColor="text1"/>
                <w:kern w:val="0"/>
                <w:sz w:val="22"/>
                <w14:textFill>
                  <w14:solidFill>
                    <w14:schemeClr w14:val="tx1"/>
                  </w14:solidFill>
                </w14:textFill>
              </w:rPr>
              <w:t>完成人员</w:t>
            </w:r>
          </w:p>
        </w:tc>
        <w:tc>
          <w:tcPr>
            <w:tcW w:w="1782" w:type="pct"/>
            <w:shd w:val="clear" w:color="000000" w:fill="FFFFFF"/>
            <w:vAlign w:val="center"/>
          </w:tcPr>
          <w:p>
            <w:pPr>
              <w:widowControl/>
              <w:jc w:val="center"/>
              <w:rPr>
                <w:rFonts w:ascii="楷体_GB2312" w:hAnsi="Times New Roman" w:eastAsia="楷体_GB2312"/>
                <w:b/>
                <w:bCs/>
                <w:color w:val="000000" w:themeColor="text1"/>
                <w:kern w:val="0"/>
                <w:sz w:val="22"/>
                <w14:textFill>
                  <w14:solidFill>
                    <w14:schemeClr w14:val="tx1"/>
                  </w14:solidFill>
                </w14:textFill>
              </w:rPr>
            </w:pPr>
            <w:r>
              <w:rPr>
                <w:rFonts w:hint="eastAsia" w:ascii="楷体_GB2312" w:hAnsi="Times New Roman" w:eastAsia="楷体_GB2312"/>
                <w:b/>
                <w:bCs/>
                <w:color w:val="000000" w:themeColor="text1"/>
                <w:kern w:val="0"/>
                <w:sz w:val="22"/>
                <w14:textFill>
                  <w14:solidFill>
                    <w14:schemeClr w14:val="tx1"/>
                  </w14:solidFill>
                </w14:textFill>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专本融通、四方协同：“三师四能”中职教师联合培养改革与实践</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敬鸿彬、杜伟、任立刚、王世伦、黄砾卉、阙海宝、杨小平、庄开明、黄宗良、李舫、龙雪娜、彭亮、汪瑞、李罗、田元</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四川城市职业学院；成都师范学院；四川师范大学；四川省成都市中和职业中学；富顺职业技术学校；四川省简阳市高级职业中学；吉利汽车集团有限公司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2</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多维协同、差异均衡：西部大省中职专业建设质量提升的“四化”实践</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廖大凯、黄鑫、陈磊、屈璐、王官燕、程远东、曾祥亮、薛昌伟、贺于松、胡竹娅、姚波、肖兆飞、杨帆、田元</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四川省教育科学研究院；四川省教育评估院；四川交通运输职业学校；四川省绵竹市职业中专学校；四川信息职业技术学院；四川财经职业学院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3</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非遗赋能 文旅融合——绵竹年化特色专业建设的创新与实践</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薛昌伟、贺于松、朱建松、卢君、陈剑、杨云科、田祯涛、李艳、史家麟</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四川省绵竹市职业中专学校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4</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职普融通 四位一体：职业体验育人模式探索与实践</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高瑜、肖慧、李松林、黄廷美、韦宝富、李洪兵、冯忠友、吴柯江、曾宝国、李沿知、刘婷婷、李强、韦生键、万朝丽、王振</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成都市教育科学研究院；成都汽车职业技术学校；成都市洞子口职业高级中学校；成都工业职业技术学院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5</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面向高原牧区培养中职“四有”畜牧人才的创新与实践</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王刚、杨建勇、陈洪涛、龚钟见、李质明、陈良忠、倪雪美、胡寅龙、陈铭宏、何明丽、冯卫东、杨勇</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甘孜藏族自治州职业技术学校；甘孜州畜牧科学研究所；泸定县益森养殖专业合作社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6</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基于“1+1+1”产教深度融合的专业群协同发展研究与实践</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赵晓鸿、祝红文、李文路、吴越强、马友惠、刘玲、谭宏鹰、邹陆彬、龙江、严益康、张昭蓉、张荣焱、蒲欢</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四川省旅游学校；苏州旅游财经高等职业技术学校；重庆昌辉文化传播股份有限公司；四川旅投教育投资有限责任公司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7</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基于脱贫攻坚 助推乡村振兴的中职彝区“9+3”学生育人模式</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张健、徐力、张建如、刘戎秋、高燕、康依博、马跃珍、李宗福、张庆、黄静、徐宏、王三刚、李萍、邓金强</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成都市工程职业技术学校；四川省档案学校；普格县职教中心；雷波县黄琅初级中学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8</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新时代中职校教师精准培养的实践策略体系</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韩竹梅、杨建辉、覃君霞、李孟强、张易</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四川省成都市礼仪职业中学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9</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二纬三联五构建：基于国家非遗竹编特色专业建设的育人实践</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邓文芹、张友波、邓光强、徐亚群、刘婷、张永俊、陈云华、张保珍、陈岚、方娟、王霞、张军容、王德智、杨伟、张腾礼、王英</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四川省青神中等职业学校；四川省青神县云华竹旅有限公司；青神县状元竹艺精品厂；青神县竹福竹编艺术创作中心；四川思竹建筑装饰工程有限公司；青神县墨兰雅韵竹艺工作室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10</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中职学校基于“专岗融通、模块组合”模式开展交通运输行业培训探索与实践</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刘新江、曾祥亮、夏宇阳、李丹、李锐、刘晓宇、陈勃西、张定国、杨二杰、谢志强、万宏、袁田、付尚波</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四川交通运输职业学校；成都精沛科技有限公司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11</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“OBE”理念下的中职专业课“四步项目过关制”教学模式</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傅洪成、邓盛斌、周琳、卿果君、彭雪锋、杨光勇、张安燕、曾红明、彭长生</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资中县职业技术学校；内江市高级技工学校；四川魔力风暴科技有限公司；涂虎养车·成都天和致远汽车服务有限公司；无锡电子仪表工业有限公司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12</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双核四级八环：中等职业学校语数英教学质量监测体系构建与四川实践</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尹毅、陈莉、李芳蓉、潘万伟、李勇、宋瑶、谢远净、张巍、李闯、黄渝川、谯述忠、徐建国、杨德英、张柯、邓南虎</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省教育科学研究院；成都市教育科学研究院；四川省成都市礼仪职业中学；成都市武侯区教育科学发展研究院；四川卫生康复职业学院；成都汽车职业技术学校；成都市树德实验中学；四川省商务学校；宜宾市教育科学研究所；成都市现代职业技术学校；广安市教育科学研究所；凉山彝族自治州教育科学研究所；阿坝州教育科学研究所；新华文轩出版传媒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13</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九个共同、要素匹配、共生共长：高技能人才培养“专业+公司”模式创新实践</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袁勋伟、卢开君、黄超、方福政、费玉春、刘杰、李万楷、黄静、陈国毅、杨余</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四川省宜宾市南溪职业技术学校；宜宾市南溪区科民机电有限公司；成都市风向标汽车技术服务有限公司；宜宾市南溪区鑫盛技术开发有限公司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14</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统筹联动、中高贯通：区域职业院校创新创业育人体系探索与实践</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李洪兵、万朝丽、严光玉、陈晓通、蒋祺炜、高瑜、刘丽华、彭勇、刘茂秋、汪建平、吴娟、陈玫、毛洪斌、阚能昌、何茹、陈凤</w:t>
            </w:r>
          </w:p>
        </w:tc>
        <w:tc>
          <w:tcPr>
            <w:tcW w:w="1782" w:type="pct"/>
            <w:shd w:val="clear" w:color="auto" w:fill="auto"/>
            <w:vAlign w:val="center"/>
          </w:tcPr>
          <w:p>
            <w:pPr>
              <w:widowControl/>
              <w:spacing w:line="300" w:lineRule="exact"/>
              <w:rPr>
                <w:rFonts w:ascii="Times New Roman" w:hAnsi="Times New Roman"/>
                <w:color w:val="000000" w:themeColor="text1"/>
                <w:spacing w:val="-2"/>
                <w:kern w:val="0"/>
                <w:sz w:val="22"/>
                <w14:textFill>
                  <w14:solidFill>
                    <w14:schemeClr w14:val="tx1"/>
                  </w14:solidFill>
                </w14:textFill>
              </w:rPr>
            </w:pPr>
            <w:r>
              <w:rPr>
                <w:rFonts w:hint="eastAsia" w:ascii="Times New Roman" w:hAnsi="Times New Roman"/>
                <w:color w:val="000000" w:themeColor="text1"/>
                <w:spacing w:val="-2"/>
                <w:kern w:val="0"/>
                <w:sz w:val="22"/>
                <w14:textFill>
                  <w14:solidFill>
                    <w14:schemeClr w14:val="tx1"/>
                  </w14:solidFill>
                </w14:textFill>
              </w:rPr>
              <w:t>成都市教育科学研究院；成都职业技术学院；成都博润创新教育研究院；四川省成都市中和职业中学；成都职业技术学校；四川省成都市财贸职业高级中学校；四川天府新区职业技术学校；成都汽车职业技术学校；成都市温江区燎原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15</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“四方协同、五岗对标、双轨同质”的乡村振兴人才培养实践</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费松涛、李劲松、尚书勇、邓燕红、梅丽、吴太明、张才星、余海溶、王素君、杨佳根、江军祥、张红军、黎洪、庞子靓、牟华川、曹荣乔、付志洪、陈鑫</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眉山电子职业技术学校；成都师范学院；眉山市教育科学研究所；四川旅游学院；西南民族大学；洪雅县教学研究室；四川省雅雨露茶业有限责任公司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16</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西部欠发达地区中职智能制造类专业“1+3”建设机制的乐山实践</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王在国、何晓明、李言奎、王艺俪、杨丽、周皇卫、龙刚、谢伟、罗大伟、王艳、吴雪娇、雷琳佳、杨运根、郑晶翔、刘毅</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四川省乐山市第一职业高级中学；成都工贸职业技术学院；成都艾博智机器人技术有限公司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17</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服务乡村振兴的“三爱三会”新农民培养体系的四十年探索与实践</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蒲伟、邓达、余永双、任鹏、胥进、谢丽华、蒲鸿、何理国、罗会义、周玉、夏洪国、杨应见、尹雄、杨平、蒋玉兰、王敏先、罗均、李林东、陈尤强、廖玉华</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省射洪市职业中专学校；成都大学；射洪市农业农村局；重庆市潼南区农业科技投资有限公司；四川合众生态农业有限公司；射洪市人力资源和社会保障局；四川太阳湖农业有限责任公司；射洪市先克来农机合作社；遂宁市安克拉食品公司；射洪金柠农业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18</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区域中等职业教育教学质量多元评价体系构建与实践</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陈玉仲、邹伦富、刘永辉、彭远斌、先礼艳、白鱼江</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泸州市教育科学研究所；泸州市纳溪区江南职业中学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279" w:type="pct"/>
            <w:shd w:val="clear" w:color="000000" w:fill="FFFFFF"/>
            <w:vAlign w:val="center"/>
          </w:tcPr>
          <w:p>
            <w:pPr>
              <w:widowControl/>
              <w:spacing w:line="300" w:lineRule="exact"/>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19</w:t>
            </w:r>
          </w:p>
        </w:tc>
        <w:tc>
          <w:tcPr>
            <w:tcW w:w="1235"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融入地方优秀文化，“校企家社”协同育人的县域中职德育模式创新与实践</w:t>
            </w:r>
          </w:p>
        </w:tc>
        <w:tc>
          <w:tcPr>
            <w:tcW w:w="170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黄绍刚、程洪、邱敏、李明、曾令玫、李琳、巫源森、邬家洪、陈思骑、秦敏</w:t>
            </w:r>
          </w:p>
        </w:tc>
        <w:tc>
          <w:tcPr>
            <w:tcW w:w="1782" w:type="pct"/>
            <w:shd w:val="clear" w:color="auto" w:fill="auto"/>
            <w:vAlign w:val="center"/>
          </w:tcPr>
          <w:p>
            <w:pPr>
              <w:widowControl/>
              <w:spacing w:line="300" w:lineRule="exac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四川省隆昌市城关职业中学；中铁隆昌铁路器材有限公司；成都市成华区嘉祥外国语高级中学</w:t>
            </w:r>
          </w:p>
        </w:tc>
      </w:tr>
    </w:tbl>
    <w:p>
      <w:pPr>
        <w:spacing w:line="640" w:lineRule="exact"/>
        <w:jc w:val="center"/>
        <w:rPr>
          <w:rFonts w:ascii="Times New Roman" w:hAnsi="Times New Roman" w:eastAsia="方正小标宋简体"/>
          <w:color w:val="000000" w:themeColor="text1"/>
          <w:sz w:val="40"/>
          <w:szCs w:val="40"/>
          <w14:textFill>
            <w14:solidFill>
              <w14:schemeClr w14:val="tx1"/>
            </w14:solidFill>
          </w14:textFill>
        </w:rPr>
      </w:pPr>
    </w:p>
    <w:p>
      <w:pPr>
        <w:widowControl/>
        <w:jc w:val="left"/>
        <w:rPr>
          <w:rFonts w:ascii="Times New Roman" w:hAnsi="Times New Roman" w:eastAsia="方正小标宋简体"/>
          <w:color w:val="000000" w:themeColor="text1"/>
          <w:sz w:val="40"/>
          <w:szCs w:val="40"/>
          <w14:textFill>
            <w14:solidFill>
              <w14:schemeClr w14:val="tx1"/>
            </w14:solidFill>
          </w14:textFill>
        </w:rPr>
      </w:pPr>
      <w:r>
        <w:rPr>
          <w:rFonts w:ascii="Times New Roman" w:hAnsi="Times New Roman" w:eastAsia="方正小标宋简体"/>
          <w:color w:val="000000" w:themeColor="text1"/>
          <w:sz w:val="40"/>
          <w:szCs w:val="40"/>
          <w14:textFill>
            <w14:solidFill>
              <w14:schemeClr w14:val="tx1"/>
            </w14:solidFill>
          </w14:textFill>
        </w:rPr>
        <w:br w:type="page"/>
      </w:r>
    </w:p>
    <w:p>
      <w:pPr>
        <w:spacing w:line="700" w:lineRule="exact"/>
        <w:jc w:val="center"/>
        <w:rPr>
          <w:rFonts w:ascii="方正小标宋_GBK" w:hAnsi="Times New Roman" w:eastAsia="方正小标宋_GBK"/>
          <w:color w:val="000000" w:themeColor="text1"/>
          <w:sz w:val="44"/>
          <w:szCs w:val="40"/>
          <w14:textFill>
            <w14:solidFill>
              <w14:schemeClr w14:val="tx1"/>
            </w14:solidFill>
          </w14:textFill>
        </w:rPr>
      </w:pPr>
      <w:r>
        <w:rPr>
          <w:rFonts w:ascii="方正小标宋_GBK" w:hAnsi="Times New Roman" w:eastAsia="方正小标宋_GBK"/>
          <w:color w:val="000000" w:themeColor="text1"/>
          <w:sz w:val="44"/>
          <w:szCs w:val="40"/>
          <w14:textFill>
            <w14:solidFill>
              <w14:schemeClr w14:val="tx1"/>
            </w14:solidFill>
          </w14:textFill>
        </w:rPr>
        <w:t>四川省2022年国家级教学成果奖职业教育拟推荐名单</w:t>
      </w:r>
    </w:p>
    <w:p>
      <w:pPr>
        <w:tabs>
          <w:tab w:val="left" w:pos="7843"/>
        </w:tabs>
        <w:spacing w:line="700" w:lineRule="exact"/>
        <w:jc w:val="center"/>
        <w:rPr>
          <w:rFonts w:ascii="Times New Roman" w:hAnsi="Times New Roman" w:eastAsia="楷体_GB2312"/>
          <w:color w:val="000000" w:themeColor="text1"/>
          <w:szCs w:val="32"/>
          <w14:textFill>
            <w14:solidFill>
              <w14:schemeClr w14:val="tx1"/>
            </w14:solidFill>
          </w14:textFill>
        </w:rPr>
      </w:pPr>
      <w:r>
        <w:rPr>
          <w:rFonts w:ascii="Times New Roman" w:hAnsi="Times New Roman" w:eastAsia="楷体_GB2312"/>
          <w:color w:val="000000" w:themeColor="text1"/>
          <w:szCs w:val="32"/>
          <w14:textFill>
            <w14:solidFill>
              <w14:schemeClr w14:val="tx1"/>
            </w14:solidFill>
          </w14:textFill>
        </w:rPr>
        <w:t>（高等职业教育，共38项）</w:t>
      </w:r>
    </w:p>
    <w:p>
      <w:pPr>
        <w:tabs>
          <w:tab w:val="left" w:pos="7843"/>
        </w:tabs>
        <w:ind w:firstLine="640" w:firstLineChars="200"/>
        <w:rPr>
          <w:rFonts w:ascii="Times New Roman" w:hAnsi="Times New Roman"/>
          <w:szCs w:val="32"/>
        </w:rPr>
      </w:pPr>
    </w:p>
    <w:tbl>
      <w:tblPr>
        <w:tblStyle w:val="5"/>
        <w:tblW w:w="4510" w:type="pct"/>
        <w:jc w:val="center"/>
        <w:tblLayout w:type="autofit"/>
        <w:tblCellMar>
          <w:top w:w="0" w:type="dxa"/>
          <w:left w:w="108" w:type="dxa"/>
          <w:bottom w:w="0" w:type="dxa"/>
          <w:right w:w="108" w:type="dxa"/>
        </w:tblCellMar>
      </w:tblPr>
      <w:tblGrid>
        <w:gridCol w:w="699"/>
        <w:gridCol w:w="3576"/>
        <w:gridCol w:w="4298"/>
        <w:gridCol w:w="4048"/>
      </w:tblGrid>
      <w:tr>
        <w:tblPrEx>
          <w:tblCellMar>
            <w:top w:w="0" w:type="dxa"/>
            <w:left w:w="108" w:type="dxa"/>
            <w:bottom w:w="0" w:type="dxa"/>
            <w:right w:w="108" w:type="dxa"/>
          </w:tblCellMar>
        </w:tblPrEx>
        <w:trPr>
          <w:trHeight w:val="532" w:hRule="atLeast"/>
          <w:tblHeader/>
          <w:jc w:val="center"/>
        </w:trPr>
        <w:tc>
          <w:tcPr>
            <w:tcW w:w="277" w:type="pct"/>
            <w:tcBorders>
              <w:top w:val="single" w:color="auto" w:sz="8" w:space="0"/>
              <w:left w:val="single" w:color="auto" w:sz="8" w:space="0"/>
              <w:bottom w:val="single" w:color="auto" w:sz="8" w:space="0"/>
              <w:right w:val="single" w:color="auto" w:sz="8" w:space="0"/>
            </w:tcBorders>
            <w:shd w:val="clear" w:color="000000" w:fill="FFFFFF"/>
            <w:vAlign w:val="center"/>
          </w:tcPr>
          <w:p>
            <w:pPr>
              <w:widowControl/>
              <w:jc w:val="center"/>
              <w:rPr>
                <w:rFonts w:ascii="楷体_GB2312" w:hAnsi="Times New Roman" w:eastAsia="楷体_GB2312"/>
                <w:b/>
                <w:bCs/>
                <w:color w:val="000000" w:themeColor="text1"/>
                <w:kern w:val="0"/>
                <w:sz w:val="22"/>
                <w14:textFill>
                  <w14:solidFill>
                    <w14:schemeClr w14:val="tx1"/>
                  </w14:solidFill>
                </w14:textFill>
              </w:rPr>
            </w:pPr>
            <w:r>
              <w:rPr>
                <w:rFonts w:hint="eastAsia" w:ascii="楷体_GB2312" w:hAnsi="Times New Roman" w:eastAsia="楷体_GB2312"/>
                <w:b/>
                <w:bCs/>
                <w:color w:val="000000" w:themeColor="text1"/>
                <w:kern w:val="0"/>
                <w:sz w:val="22"/>
                <w14:textFill>
                  <w14:solidFill>
                    <w14:schemeClr w14:val="tx1"/>
                  </w14:solidFill>
                </w14:textFill>
              </w:rPr>
              <w:t>序号</w:t>
            </w:r>
          </w:p>
        </w:tc>
        <w:tc>
          <w:tcPr>
            <w:tcW w:w="1416"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楷体_GB2312" w:hAnsi="Times New Roman" w:eastAsia="楷体_GB2312"/>
                <w:b/>
                <w:bCs/>
                <w:color w:val="000000" w:themeColor="text1"/>
                <w:kern w:val="0"/>
                <w:sz w:val="22"/>
                <w14:textFill>
                  <w14:solidFill>
                    <w14:schemeClr w14:val="tx1"/>
                  </w14:solidFill>
                </w14:textFill>
              </w:rPr>
            </w:pPr>
            <w:bookmarkStart w:id="1" w:name="_GoBack"/>
            <w:bookmarkEnd w:id="1"/>
            <w:r>
              <w:rPr>
                <w:rFonts w:hint="eastAsia" w:ascii="楷体_GB2312" w:hAnsi="Times New Roman" w:eastAsia="楷体_GB2312"/>
                <w:b/>
                <w:bCs/>
                <w:color w:val="000000" w:themeColor="text1"/>
                <w:kern w:val="0"/>
                <w:sz w:val="22"/>
                <w14:textFill>
                  <w14:solidFill>
                    <w14:schemeClr w14:val="tx1"/>
                  </w14:solidFill>
                </w14:textFill>
              </w:rPr>
              <w:t>成果名称</w:t>
            </w:r>
          </w:p>
        </w:tc>
        <w:tc>
          <w:tcPr>
            <w:tcW w:w="1702"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楷体_GB2312" w:hAnsi="Times New Roman" w:eastAsia="楷体_GB2312"/>
                <w:b/>
                <w:bCs/>
                <w:color w:val="000000" w:themeColor="text1"/>
                <w:kern w:val="0"/>
                <w:sz w:val="22"/>
                <w14:textFill>
                  <w14:solidFill>
                    <w14:schemeClr w14:val="tx1"/>
                  </w14:solidFill>
                </w14:textFill>
              </w:rPr>
            </w:pPr>
            <w:r>
              <w:rPr>
                <w:rFonts w:hint="eastAsia" w:ascii="楷体_GB2312" w:hAnsi="Times New Roman" w:eastAsia="楷体_GB2312"/>
                <w:b/>
                <w:bCs/>
                <w:color w:val="000000" w:themeColor="text1"/>
                <w:kern w:val="0"/>
                <w:sz w:val="22"/>
                <w14:textFill>
                  <w14:solidFill>
                    <w14:schemeClr w14:val="tx1"/>
                  </w14:solidFill>
                </w14:textFill>
              </w:rPr>
              <w:t>完成人员</w:t>
            </w:r>
          </w:p>
        </w:tc>
        <w:tc>
          <w:tcPr>
            <w:tcW w:w="1603" w:type="pct"/>
            <w:tcBorders>
              <w:top w:val="single" w:color="auto" w:sz="8" w:space="0"/>
              <w:left w:val="nil"/>
              <w:bottom w:val="single" w:color="auto" w:sz="8" w:space="0"/>
              <w:right w:val="single" w:color="auto" w:sz="8" w:space="0"/>
            </w:tcBorders>
            <w:shd w:val="clear" w:color="000000" w:fill="FFFFFF"/>
            <w:vAlign w:val="center"/>
          </w:tcPr>
          <w:p>
            <w:pPr>
              <w:widowControl/>
              <w:ind w:left="-118" w:leftChars="-37" w:firstLine="119" w:firstLineChars="54"/>
              <w:jc w:val="center"/>
              <w:rPr>
                <w:rFonts w:ascii="楷体_GB2312" w:hAnsi="Times New Roman" w:eastAsia="楷体_GB2312"/>
                <w:b/>
                <w:bCs/>
                <w:color w:val="000000" w:themeColor="text1"/>
                <w:kern w:val="0"/>
                <w:sz w:val="22"/>
                <w14:textFill>
                  <w14:solidFill>
                    <w14:schemeClr w14:val="tx1"/>
                  </w14:solidFill>
                </w14:textFill>
              </w:rPr>
            </w:pPr>
            <w:r>
              <w:rPr>
                <w:rFonts w:hint="eastAsia" w:ascii="楷体_GB2312" w:hAnsi="Times New Roman" w:eastAsia="楷体_GB2312"/>
                <w:b/>
                <w:bCs/>
                <w:color w:val="000000" w:themeColor="text1"/>
                <w:kern w:val="0"/>
                <w:sz w:val="22"/>
                <w14:textFill>
                  <w14:solidFill>
                    <w14:schemeClr w14:val="tx1"/>
                  </w14:solidFill>
                </w14:textFill>
              </w:rPr>
              <w:t>所属单位</w:t>
            </w:r>
          </w:p>
        </w:tc>
      </w:tr>
      <w:tr>
        <w:tblPrEx>
          <w:tblCellMar>
            <w:top w:w="0" w:type="dxa"/>
            <w:left w:w="108" w:type="dxa"/>
            <w:bottom w:w="0" w:type="dxa"/>
            <w:right w:w="108" w:type="dxa"/>
          </w:tblCellMar>
        </w:tblPrEx>
        <w:trPr>
          <w:trHeight w:val="4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面向川藏地区，交通土建类专业“四点聚力、跨界协同”育人模式的创新与实践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阮志刚、钟彪、黄宁、陈飚、蒋永林、刘玉荣、申莉、罗婧、李胜、杨小燕、熊国斌、牟廷敏、吴佳晔</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四川交通职业技术学院；四川公路桥梁建设集团有限公司；四川省公路规划勘察设计研究院有限公司；四川升拓检测技术股份有限公司</w:t>
            </w:r>
          </w:p>
        </w:tc>
      </w:tr>
      <w:tr>
        <w:tblPrEx>
          <w:tblCellMar>
            <w:top w:w="0" w:type="dxa"/>
            <w:left w:w="108" w:type="dxa"/>
            <w:bottom w:w="0" w:type="dxa"/>
            <w:right w:w="108" w:type="dxa"/>
          </w:tblCellMar>
        </w:tblPrEx>
        <w:trPr>
          <w:trHeight w:val="4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2</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畜牧兽医专业“双零驱动、三层递进、标准控制”现代学徒制的创新与实践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王怀禹、黎明、苟国旗、罗通彪、刘洪坤、黎明虎、冉茂中、李彩虹、吕远蓉、何文、何子双、张虎义</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南充职业技术学院；阆中大北农农牧食品有限公司</w:t>
            </w:r>
          </w:p>
        </w:tc>
      </w:tr>
      <w:tr>
        <w:tblPrEx>
          <w:tblCellMar>
            <w:top w:w="0" w:type="dxa"/>
            <w:left w:w="108" w:type="dxa"/>
            <w:bottom w:w="0" w:type="dxa"/>
            <w:right w:w="108" w:type="dxa"/>
          </w:tblCellMar>
        </w:tblPrEx>
        <w:trPr>
          <w:trHeight w:val="4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3</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“全链条、五贯通”高职院校创新创业教育体系创新与实践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严光玉、杨莉、张思寻、郑应松、刘明勇、刘静、刘玮、陈晓通、陈静、张兴荣、高瑜、李丹、刘晋州、彭勇</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成都职业技术学院；成都博润创新教育研究院；成都市教育科学研究院</w:t>
            </w:r>
          </w:p>
        </w:tc>
      </w:tr>
      <w:tr>
        <w:tblPrEx>
          <w:tblCellMar>
            <w:top w:w="0" w:type="dxa"/>
            <w:left w:w="108" w:type="dxa"/>
            <w:bottom w:w="0" w:type="dxa"/>
            <w:right w:w="108" w:type="dxa"/>
          </w:tblCellMar>
        </w:tblPrEx>
        <w:trPr>
          <w:trHeight w:val="4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4</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瞄准国家战略需求，携手航空头部企业共育大国重器制造人才的创新实践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刘建超、张蕴启、袁忠、曾友州、祝登义、刘可为、李永光、郑金辉、任丹、何龙、何先定、易磊隽、刘志学、周树强、张川、牟文平</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成都航空职业技术学院；成都飞机工业（集团）有限责任公司；中航（成都）无人机系统有限公司</w:t>
            </w:r>
          </w:p>
        </w:tc>
      </w:tr>
      <w:tr>
        <w:tblPrEx>
          <w:tblCellMar>
            <w:top w:w="0" w:type="dxa"/>
            <w:left w:w="108" w:type="dxa"/>
            <w:bottom w:w="0" w:type="dxa"/>
            <w:right w:w="108" w:type="dxa"/>
          </w:tblCellMar>
        </w:tblPrEx>
        <w:trPr>
          <w:trHeight w:val="4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5</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“双院融合、三师协同、三制联动”高职育人模式创新与实践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王世伦、杜伟、卢德生、任立刚、敬鸿彬、侯志春、刘志东、徐飞、黄敏、胡晓曦、谭静、简冬秋、何弦、康文杰、李昕莞</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四川城市职业学院；成都师范学院；四川师范大学；重庆科创职业学院</w:t>
            </w:r>
          </w:p>
        </w:tc>
      </w:tr>
      <w:tr>
        <w:tblPrEx>
          <w:tblCellMar>
            <w:top w:w="0" w:type="dxa"/>
            <w:left w:w="108" w:type="dxa"/>
            <w:bottom w:w="0" w:type="dxa"/>
            <w:right w:w="108" w:type="dxa"/>
          </w:tblCellMar>
        </w:tblPrEx>
        <w:trPr>
          <w:trHeight w:val="615"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6</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双师融合、全程协同、三阶递进：培养“国之重器”技术技能人才的创新与实践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肖峰、向守兵、毛天宏、尹守军、本柏忠、吴先文、杜娟、张丹、彭洁、钟铃、陈晓慈、冯锦春、章友谊、杨保成</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四川工程职业技术学院；中国二重万航模锻有限责任公司；东方电气风电股份有限公司</w:t>
            </w:r>
          </w:p>
        </w:tc>
      </w:tr>
      <w:tr>
        <w:tblPrEx>
          <w:tblCellMar>
            <w:top w:w="0" w:type="dxa"/>
            <w:left w:w="108" w:type="dxa"/>
            <w:bottom w:w="0" w:type="dxa"/>
            <w:right w:w="108" w:type="dxa"/>
          </w:tblCellMar>
        </w:tblPrEx>
        <w:trPr>
          <w:trHeight w:val="963"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7</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服务建筑业国际产能合作，培养高职土建类国际化人才的探索与实践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戴明元、许辉熙、张蕾、鲜洁、王建忠、伍慧卿、廖开敏、王姣姣、周涛、张义琢、董思萌、李育枢、向波、吕颖、钱勇、胡晓元</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四川建筑职业技术学院；四川华西海外投资建设有限公司；坦桑尼亚海南国际股份有限公司</w:t>
            </w:r>
          </w:p>
        </w:tc>
      </w:tr>
      <w:tr>
        <w:tblPrEx>
          <w:tblCellMar>
            <w:top w:w="0" w:type="dxa"/>
            <w:left w:w="108" w:type="dxa"/>
            <w:bottom w:w="0" w:type="dxa"/>
            <w:right w:w="108" w:type="dxa"/>
          </w:tblCellMar>
        </w:tblPrEx>
        <w:trPr>
          <w:trHeight w:val="933"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8</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财经商贸类专业数字化改造的创新与实践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李代俊、易思飞、李建军、罗艾、张延昕、常竞、何小、陈娟、刘瑶、王子林、但强、刘吉斌</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四川财经职业学院；中联企业管理集团有限公司；成都市大数据协会；浪潮通用软件有限公司</w:t>
            </w:r>
          </w:p>
        </w:tc>
      </w:tr>
      <w:tr>
        <w:tblPrEx>
          <w:tblCellMar>
            <w:top w:w="0" w:type="dxa"/>
            <w:left w:w="108" w:type="dxa"/>
            <w:bottom w:w="0" w:type="dxa"/>
            <w:right w:w="108" w:type="dxa"/>
          </w:tblCellMar>
        </w:tblPrEx>
        <w:trPr>
          <w:trHeight w:val="4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9</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基于混合所有制的“一平台·五融通·四交替”校企协同育人模式创新与实践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王义全、邓廷奎、李晓强、赵勇、唐学军、张志高、罗刚、李俊泓、杨小锋、郭丹、熊代辉、车云月、晏榆洋、谭燕、曾德贵、孔新海</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广安职业技术学院；四川华泰建设集团；新迈尔（北京）科技有限公司</w:t>
            </w:r>
          </w:p>
        </w:tc>
      </w:tr>
      <w:tr>
        <w:tblPrEx>
          <w:tblCellMar>
            <w:top w:w="0" w:type="dxa"/>
            <w:left w:w="108" w:type="dxa"/>
            <w:bottom w:w="0" w:type="dxa"/>
            <w:right w:w="108" w:type="dxa"/>
          </w:tblCellMar>
        </w:tblPrEx>
        <w:trPr>
          <w:trHeight w:val="1599"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10</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西部民族地区基层医药卫生人才“四方协同，三融三接”培养体系创新与实践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张先庚、梁小利、王红艳、姚永萍、申洋、张佩如、唐布敏、贾周、郑爽、李玉晶、周佳丽、雍文周、张福斌、雷昕华、孟保华、徐飞、包锐、苗泓丽、杨鹏飞、曹俊、李毅、刘林峰</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四川护理职业学院；阿坝藏族羌族自治州卫生健康委员会；遵义医药高等专科学校；若尔盖县人民医院；昆明卫生职业学院；若尔盖县卫生健康局；壤塘县人民医院</w:t>
            </w:r>
          </w:p>
        </w:tc>
      </w:tr>
      <w:tr>
        <w:tblPrEx>
          <w:tblCellMar>
            <w:top w:w="0" w:type="dxa"/>
            <w:left w:w="108" w:type="dxa"/>
            <w:bottom w:w="0" w:type="dxa"/>
            <w:right w:w="108" w:type="dxa"/>
          </w:tblCellMar>
        </w:tblPrEx>
        <w:trPr>
          <w:trHeight w:val="1396"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11</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强军报国  为战育人：定向士官“两线三维四方”军政素质培养模式创新与实践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熊熙、任丹、梁潘、王洲伟、蒋晓敏、郭锐、王守权、李健、胡瑞典、杨余、宋勇军、黄渊</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成都航空职业技术学院；空军工程大学航空机务士官学校；海军航空大学青岛校区；武警四川省总队；成都飞机工业（集团）有限责任公司</w:t>
            </w:r>
          </w:p>
        </w:tc>
      </w:tr>
      <w:tr>
        <w:tblPrEx>
          <w:tblCellMar>
            <w:top w:w="0" w:type="dxa"/>
            <w:left w:w="108" w:type="dxa"/>
            <w:bottom w:w="0" w:type="dxa"/>
            <w:right w:w="108" w:type="dxa"/>
          </w:tblCellMar>
        </w:tblPrEx>
        <w:trPr>
          <w:trHeight w:val="4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12</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“四阶递进”产教融合引领高职城轨车辆技术专业群建设的探索与实践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方文、蒋永林、赵宝鹏、徐生明、陈华卫、胡昌宁、罗昭强、韩</w:t>
            </w:r>
            <w:r>
              <w:rPr>
                <w:rFonts w:hint="eastAsia" w:ascii="Times New Roman" w:hAnsi="Times New Roman" w:eastAsia="宋体" w:cs="宋体"/>
                <w:color w:val="000000" w:themeColor="text1"/>
                <w:kern w:val="0"/>
                <w:sz w:val="22"/>
                <w14:textFill>
                  <w14:solidFill>
                    <w14:schemeClr w14:val="tx1"/>
                  </w14:solidFill>
                </w14:textFill>
              </w:rPr>
              <w:t>瑀</w:t>
            </w:r>
            <w:r>
              <w:rPr>
                <w:rFonts w:hint="eastAsia" w:ascii="Times New Roman" w:hAnsi="Times New Roman"/>
                <w:color w:val="000000" w:themeColor="text1"/>
                <w:kern w:val="0"/>
                <w:sz w:val="22"/>
                <w14:textFill>
                  <w14:solidFill>
                    <w14:schemeClr w14:val="tx1"/>
                  </w14:solidFill>
                </w14:textFill>
              </w:rPr>
              <w:t>萱、李庆军、丁超、冉婧入、刘英、张擎</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四川交通职业技术学院；四川蜀道新制式轨道集团有限责任公司；四川省中车铁投轨道交通有限公司；成都地铁运营有限公司</w:t>
            </w:r>
          </w:p>
        </w:tc>
      </w:tr>
      <w:tr>
        <w:tblPrEx>
          <w:tblCellMar>
            <w:top w:w="0" w:type="dxa"/>
            <w:left w:w="108" w:type="dxa"/>
            <w:bottom w:w="0" w:type="dxa"/>
            <w:right w:w="108" w:type="dxa"/>
          </w:tblCellMar>
        </w:tblPrEx>
        <w:trPr>
          <w:trHeight w:val="954"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13</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高职院校“三力同驱”内部质量保证体系创新与实践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甘华银、王义全、邓廷奎、冉嘉洛、孔新海、王丽华、唐学军、陈佳佳、张志高、朱龙、石乾福、杨英、王娟、李聪</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广安职业技术学院</w:t>
            </w:r>
          </w:p>
        </w:tc>
      </w:tr>
      <w:tr>
        <w:tblPrEx>
          <w:tblCellMar>
            <w:top w:w="0" w:type="dxa"/>
            <w:left w:w="108" w:type="dxa"/>
            <w:bottom w:w="0" w:type="dxa"/>
            <w:right w:w="108" w:type="dxa"/>
          </w:tblCellMar>
        </w:tblPrEx>
        <w:trPr>
          <w:trHeight w:val="1362"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14</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 xml:space="preserve">“产教园+创业园”双园一体培养软件技术专业专创融合人才的创新与实践 </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涂智、杨莉、万敬、简显锐、张明、孟奕峰、韩艳、朱卫平、鲜昊宏、于晓波、杨超智、李亚平、张丽娟、郑应松、陈凌、张志华、邓小华</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成都职业技术学院；华为技术有限公司；四川省软件行业协会</w:t>
            </w:r>
          </w:p>
        </w:tc>
      </w:tr>
      <w:tr>
        <w:tblPrEx>
          <w:tblCellMar>
            <w:top w:w="0" w:type="dxa"/>
            <w:left w:w="108" w:type="dxa"/>
            <w:bottom w:w="0" w:type="dxa"/>
            <w:right w:w="108" w:type="dxa"/>
          </w:tblCellMar>
        </w:tblPrEx>
        <w:trPr>
          <w:trHeight w:val="1038"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15</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央企办校“一线双元，五进融通”现代航天工匠培养模式创新与实践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刘家</w:t>
            </w:r>
            <w:r>
              <w:rPr>
                <w:rFonts w:hint="eastAsia" w:ascii="Times New Roman" w:hAnsi="Times New Roman" w:eastAsia="宋体" w:cs="宋体"/>
                <w:color w:val="000000" w:themeColor="text1"/>
                <w:kern w:val="0"/>
                <w:sz w:val="22"/>
                <w14:textFill>
                  <w14:solidFill>
                    <w14:schemeClr w14:val="tx1"/>
                  </w14:solidFill>
                </w14:textFill>
              </w:rPr>
              <w:t>騑</w:t>
            </w:r>
            <w:r>
              <w:rPr>
                <w:rFonts w:hint="eastAsia" w:ascii="Times New Roman" w:hAnsi="Times New Roman"/>
                <w:color w:val="000000" w:themeColor="text1"/>
                <w:kern w:val="0"/>
                <w:sz w:val="22"/>
                <w14:textFill>
                  <w14:solidFill>
                    <w14:schemeClr w14:val="tx1"/>
                  </w14:solidFill>
                </w14:textFill>
              </w:rPr>
              <w:t>、王立波、周林、王银、曾强、宋科、胡文彬、黄昌志、古中林、夏江华、杨济铭、漆军</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四川航天职业技术学院；四川航天工业集团有限公司</w:t>
            </w:r>
          </w:p>
        </w:tc>
      </w:tr>
      <w:tr>
        <w:tblPrEx>
          <w:tblCellMar>
            <w:top w:w="0" w:type="dxa"/>
            <w:left w:w="108" w:type="dxa"/>
            <w:bottom w:w="0" w:type="dxa"/>
            <w:right w:w="108" w:type="dxa"/>
          </w:tblCellMar>
        </w:tblPrEx>
        <w:trPr>
          <w:trHeight w:val="1306"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16</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富教合一 育训融通 四方联动：农业职业经理人培养“成都模式”探索与实践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蒲小彬、王慧、蒋红丽、陈志国、张社梅、晏志谦、刘雯、彭静、郑佳、刘永宏、应苗红、董娅、蔡群霞、官万武、杨健、王瑾瑜、金瑾、冉桂蓉</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成都农业科技职业学院；成都市农业农村局；四川农业大学；成都市农业职业经理人协会；成都汇众农业有限公司</w:t>
            </w:r>
          </w:p>
        </w:tc>
      </w:tr>
      <w:tr>
        <w:tblPrEx>
          <w:tblCellMar>
            <w:top w:w="0" w:type="dxa"/>
            <w:left w:w="108" w:type="dxa"/>
            <w:bottom w:w="0" w:type="dxa"/>
            <w:right w:w="108" w:type="dxa"/>
          </w:tblCellMar>
        </w:tblPrEx>
        <w:trPr>
          <w:trHeight w:val="12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17</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中医基层全科实用人才“五元合一”培养模式的创新与实践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王飞、王文、曹艳霞、苏绪林、陈美仁、沈其霖、商碧辉、张发玉、刘国林、马晓晖、高剑坤、熊华、姜涛、田 勇、赵琳、吴宁川</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四川中医药高等专科学校；重庆三峡医药高等专科学校；湖南中医药高等专科学校；绵阳市中医医院；江油市中医医院；四川常知乐健康科技有限公司</w:t>
            </w:r>
          </w:p>
        </w:tc>
      </w:tr>
      <w:tr>
        <w:tblPrEx>
          <w:tblCellMar>
            <w:top w:w="0" w:type="dxa"/>
            <w:left w:w="108" w:type="dxa"/>
            <w:bottom w:w="0" w:type="dxa"/>
            <w:right w:w="108" w:type="dxa"/>
          </w:tblCellMar>
        </w:tblPrEx>
        <w:trPr>
          <w:trHeight w:val="96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18</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高职与技工教育“融合贯通、四阶递进”的新时代产业工匠人才培养创新与实践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徐健、王涛、杨春禧、王士星、江辉、胡颖梅、郑有春、段昌东、周皇卫、肖贵斌、潘玉华、刘尚明、蒋晶晶、杨舜如、刘蜀、刘毅、张雪、赖杰</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成都工贸职业技术学院</w:t>
            </w:r>
          </w:p>
        </w:tc>
      </w:tr>
      <w:tr>
        <w:tblPrEx>
          <w:tblCellMar>
            <w:top w:w="0" w:type="dxa"/>
            <w:left w:w="108" w:type="dxa"/>
            <w:bottom w:w="0" w:type="dxa"/>
            <w:right w:w="108" w:type="dxa"/>
          </w:tblCellMar>
        </w:tblPrEx>
        <w:trPr>
          <w:trHeight w:val="1071"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19</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“校地园协同、学训教一体”幼儿教师人才培养模式改革研究与实践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夏蔚、段永清、罗慧、牟洪贵、曾祥琼、邓亚玲、彭丹、全晓燕、黄琼慧、杨建明、鄢超云、赖天利、王芳、易小玲、冯丽、刘雯、邱庆梅、孔凡骏</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川南幼儿师范高等专科学校</w:t>
            </w:r>
          </w:p>
        </w:tc>
      </w:tr>
      <w:tr>
        <w:tblPrEx>
          <w:tblCellMar>
            <w:top w:w="0" w:type="dxa"/>
            <w:left w:w="108" w:type="dxa"/>
            <w:bottom w:w="0" w:type="dxa"/>
            <w:right w:w="108" w:type="dxa"/>
          </w:tblCellMar>
        </w:tblPrEx>
        <w:trPr>
          <w:trHeight w:val="1069"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20</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“数智引领·课程重构·文化浸润”高职会计专业迭代育人的创新实践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盛强、黎明、苟国旗、张煜、李巧玲、宋依蔓、梅玫、林莉、徐勇、贺超、冯诗棠、郑屹立、李昕、曹禹</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南充职业技术学院；中联集团教育科技有限公司</w:t>
            </w:r>
          </w:p>
        </w:tc>
      </w:tr>
      <w:tr>
        <w:tblPrEx>
          <w:tblCellMar>
            <w:top w:w="0" w:type="dxa"/>
            <w:left w:w="108" w:type="dxa"/>
            <w:bottom w:w="0" w:type="dxa"/>
            <w:right w:w="108" w:type="dxa"/>
          </w:tblCellMar>
        </w:tblPrEx>
        <w:trPr>
          <w:trHeight w:val="1038"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21</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“递进式、三聚力” 高职院校课程思政教学体系的构建与</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李丹、张开江、杨莉、江开泉、左莉、刘静、阚燕、杨扬、缪礼红、薛佳、夏颖、黄露、徐冀川、姚任均</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成都职业技术学院</w:t>
            </w:r>
          </w:p>
        </w:tc>
      </w:tr>
      <w:tr>
        <w:tblPrEx>
          <w:tblCellMar>
            <w:top w:w="0" w:type="dxa"/>
            <w:left w:w="108" w:type="dxa"/>
            <w:bottom w:w="0" w:type="dxa"/>
            <w:right w:w="108" w:type="dxa"/>
          </w:tblCellMar>
        </w:tblPrEx>
        <w:trPr>
          <w:trHeight w:val="1306"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22</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融入航空报国精神的高职院校思想政治工作系统集成育人模式创新与实践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陈玉华、邹勇、尹成鑫、吴小平、张志军、刘逸</w:t>
            </w:r>
            <w:r>
              <w:rPr>
                <w:rFonts w:hint="eastAsia" w:ascii="Times New Roman" w:hAnsi="Times New Roman" w:eastAsia="宋体" w:cs="宋体"/>
                <w:color w:val="000000" w:themeColor="text1"/>
                <w:kern w:val="0"/>
                <w:sz w:val="22"/>
                <w14:textFill>
                  <w14:solidFill>
                    <w14:schemeClr w14:val="tx1"/>
                  </w14:solidFill>
                </w14:textFill>
              </w:rPr>
              <w:t>舲</w:t>
            </w:r>
            <w:r>
              <w:rPr>
                <w:rFonts w:hint="eastAsia" w:ascii="Times New Roman" w:hAnsi="Times New Roman"/>
                <w:color w:val="000000" w:themeColor="text1"/>
                <w:kern w:val="0"/>
                <w:sz w:val="22"/>
                <w14:textFill>
                  <w14:solidFill>
                    <w14:schemeClr w14:val="tx1"/>
                  </w14:solidFill>
                </w14:textFill>
              </w:rPr>
              <w:t>、张霓、刘晓波、张琴、杨湘伶、彭亚娜、闫天龙、李明富、马建勇、邵红梅、黄芸、王洵、陈雅真、甘国龙、李峥</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成都航空职业技术学院；成都飞机工业（集团）有限责任公司；中国航发成都发动机有限公司</w:t>
            </w:r>
          </w:p>
        </w:tc>
      </w:tr>
      <w:tr>
        <w:tblPrEx>
          <w:tblCellMar>
            <w:top w:w="0" w:type="dxa"/>
            <w:left w:w="108" w:type="dxa"/>
            <w:bottom w:w="0" w:type="dxa"/>
            <w:right w:w="108" w:type="dxa"/>
          </w:tblCellMar>
        </w:tblPrEx>
        <w:trPr>
          <w:trHeight w:val="12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23</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三维双轮互促：职业教育与乡村振兴共生的交通人才本土化培养模式创新与实践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王东平、王永莲、王朔、肖珊、周璇、袁杰、谢伟青、唐柳、冯彦乔、杨小燕、曾祥亮、刘洋、且祖武</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四川交通职业技术学院；四川交通运输职业学校；四川大学工程设计研究院有限公司；甘孜藏族自治州民族教育科学研究所</w:t>
            </w:r>
          </w:p>
        </w:tc>
      </w:tr>
      <w:tr>
        <w:tblPrEx>
          <w:tblCellMar>
            <w:top w:w="0" w:type="dxa"/>
            <w:left w:w="108" w:type="dxa"/>
            <w:bottom w:w="0" w:type="dxa"/>
            <w:right w:w="108" w:type="dxa"/>
          </w:tblCellMar>
        </w:tblPrEx>
        <w:trPr>
          <w:trHeight w:val="9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24</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高职信息通信类专业“岗课对接·训教合一”特色学徒制培养模式的研究与实践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韦泽训、冯远洪、马晓强、杨一荔、林媛、刘川、吴远华、高瞻、罗翔</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四川邮电职业技术学院；中通服咨询设计研究院有限公司四川分公司；四川公众项目咨询管理有限公司</w:t>
            </w:r>
          </w:p>
        </w:tc>
      </w:tr>
      <w:tr>
        <w:tblPrEx>
          <w:tblCellMar>
            <w:top w:w="0" w:type="dxa"/>
            <w:left w:w="108" w:type="dxa"/>
            <w:bottom w:w="0" w:type="dxa"/>
            <w:right w:w="108" w:type="dxa"/>
          </w:tblCellMar>
        </w:tblPrEx>
        <w:trPr>
          <w:trHeight w:val="4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25</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道技融合 以文化人：思政引领下优秀纺织文化育人体系的构建与实践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李晓岩、蔡玉波、周红、王小军、廖雪梅、徐海艳、史在宏、太扎姆、刘彤、朱利容、倪阳生、韩剑南、漆晓玲</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bookmarkStart w:id="0" w:name="RANGE!H27"/>
            <w:r>
              <w:rPr>
                <w:rFonts w:hint="eastAsia" w:ascii="Times New Roman" w:hAnsi="Times New Roman"/>
                <w:color w:val="000000" w:themeColor="text1"/>
                <w:kern w:val="0"/>
                <w:sz w:val="22"/>
                <w14:textFill>
                  <w14:solidFill>
                    <w14:schemeClr w14:val="tx1"/>
                  </w14:solidFill>
                </w14:textFill>
              </w:rPr>
              <w:t>成都纺织高等专科学校；成都大学；中国纺织服装教育学会</w:t>
            </w:r>
            <w:bookmarkEnd w:id="0"/>
          </w:p>
        </w:tc>
      </w:tr>
      <w:tr>
        <w:tblPrEx>
          <w:tblCellMar>
            <w:top w:w="0" w:type="dxa"/>
            <w:left w:w="108" w:type="dxa"/>
            <w:bottom w:w="0" w:type="dxa"/>
            <w:right w:w="108" w:type="dxa"/>
          </w:tblCellMar>
        </w:tblPrEx>
        <w:trPr>
          <w:trHeight w:val="4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26</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五层联动四步推进四维协同三项保障：建筑类高职院校课程思政模式创新与实践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胡兴福、刘继强、何智明、黎仕明、王艳、彭丽、张迪、于震、张建新、李珂、王琦、李雪梅、范晓南</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四川建筑职业技术学院；杨凌职业技术学院；中国建筑第二工程局有限公司</w:t>
            </w:r>
          </w:p>
        </w:tc>
      </w:tr>
      <w:tr>
        <w:tblPrEx>
          <w:tblCellMar>
            <w:top w:w="0" w:type="dxa"/>
            <w:left w:w="108" w:type="dxa"/>
            <w:bottom w:w="0" w:type="dxa"/>
            <w:right w:w="108" w:type="dxa"/>
          </w:tblCellMar>
        </w:tblPrEx>
        <w:trPr>
          <w:trHeight w:val="926"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27</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分类合作·标准贯通·评价赋能：提升土建类高职学生职业适应力的创新与实践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李辉、李超、王艳、肖川、伍小平、吴国雄、杨转运、高海港、孙德江、丁杨、黄志豪、刘兵、胡驰、赵钧</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四川建筑职业技术学院；中国建筑一局（集团）有限公司；四汇建设集团有限公司；迅达（中国）电梯有限公司；重庆建筑工程职业学院</w:t>
            </w:r>
          </w:p>
        </w:tc>
      </w:tr>
      <w:tr>
        <w:tblPrEx>
          <w:tblCellMar>
            <w:top w:w="0" w:type="dxa"/>
            <w:left w:w="108" w:type="dxa"/>
            <w:bottom w:w="0" w:type="dxa"/>
            <w:right w:w="108" w:type="dxa"/>
          </w:tblCellMar>
        </w:tblPrEx>
        <w:trPr>
          <w:trHeight w:val="4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28</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需求牵引、数旅融合：高职智慧旅游人才培养模式改革与实践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赖斌、洪光英、黄晓菲、舒莉、许世杰、吴雪、李炼、江舸、张芝敏、唐淑慧、周道华、何成蓉、吴学伟、干曦礼、徐平乐、石昭、邹小兵、单泽森、张国宇、冷奇君</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成都职业技术学院；成都中科大旗软件股份有限公司；四川省文化和旅游信息化促进会</w:t>
            </w:r>
          </w:p>
        </w:tc>
      </w:tr>
      <w:tr>
        <w:tblPrEx>
          <w:tblCellMar>
            <w:top w:w="0" w:type="dxa"/>
            <w:left w:w="108" w:type="dxa"/>
            <w:bottom w:w="0" w:type="dxa"/>
            <w:right w:w="108" w:type="dxa"/>
          </w:tblCellMar>
        </w:tblPrEx>
        <w:trPr>
          <w:trHeight w:val="1011"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29</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学前教育专业群“四方聚力 四维融通 四阶递进”人才培养模式创新与实践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付先全、蒋平、卢玲、王箭飞、谢鸿全、王少军、蒋珍菊、江敏、魏勇刚、付玉、王正惠、贾雪枫、余晓萍、陈善珍、张爽</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泸州职业技术学院；泸州市教育和体育局；西南科技大学；西华大学；重庆师范大学；绵阳师范学院</w:t>
            </w:r>
          </w:p>
        </w:tc>
      </w:tr>
      <w:tr>
        <w:tblPrEx>
          <w:tblCellMar>
            <w:top w:w="0" w:type="dxa"/>
            <w:left w:w="108" w:type="dxa"/>
            <w:bottom w:w="0" w:type="dxa"/>
            <w:right w:w="108" w:type="dxa"/>
          </w:tblCellMar>
        </w:tblPrEx>
        <w:trPr>
          <w:trHeight w:val="4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30</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四方协同、五维对接、六措并举——高职学前教育专业人才培养模式探索与实践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杨达、闵永祥、张鹏、何为、蒋荣辉、秦莉、张小兵、王萌、王向东、夏晨伶、何云竹、冯萍、张晓嘉、侥卉、景春、杨蕊嘉、陈亚平</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四川幼儿师范高等专科学校；成都金苹果金教育投资有限责任公司；绵阳市机关幼儿园</w:t>
            </w:r>
          </w:p>
        </w:tc>
      </w:tr>
      <w:tr>
        <w:tblPrEx>
          <w:tblCellMar>
            <w:top w:w="0" w:type="dxa"/>
            <w:left w:w="108" w:type="dxa"/>
            <w:bottom w:w="0" w:type="dxa"/>
            <w:right w:w="108" w:type="dxa"/>
          </w:tblCellMar>
        </w:tblPrEx>
        <w:trPr>
          <w:trHeight w:val="4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31</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整体设计，全面推进基于云教学的新形态课堂教学改革与实践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刘建明、饶国清、张智涌、潘妮、陈鸿俊、商桑、靳新、杨中瑞、李万渠、朱自强、双学珍、冯金钰、赵鑫、杨泽江、陈锐、吴映清、张晓、李学明、田明武、李星瑶</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四川水利职业技术学院；北京蓝墨大数据技术研究院；北京智启蓝墨信息技术有限公司</w:t>
            </w:r>
          </w:p>
        </w:tc>
      </w:tr>
      <w:tr>
        <w:tblPrEx>
          <w:tblCellMar>
            <w:top w:w="0" w:type="dxa"/>
            <w:left w:w="108" w:type="dxa"/>
            <w:bottom w:w="0" w:type="dxa"/>
            <w:right w:w="108" w:type="dxa"/>
          </w:tblCellMar>
        </w:tblPrEx>
        <w:trPr>
          <w:trHeight w:val="4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32</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六方协同·六共聚力·六维对接：高职院校产教融合机制创新与实践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曾庆双、何杰、蒋平、鲍学东、陈光玖、陈运军、郎润华、唐亮、柳西波、李刚、龚勇、熊剑、杨宗伟、胡延坤</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泸州职业技术学院；国信蓝桥教育科技股份有限公司；中慧云启科技集团有限公司；重庆城市职业学院；苏州工业园区服务外包职业学院；四川经纬教育管理集团有限公司</w:t>
            </w:r>
          </w:p>
        </w:tc>
      </w:tr>
      <w:tr>
        <w:tblPrEx>
          <w:tblCellMar>
            <w:top w:w="0" w:type="dxa"/>
            <w:left w:w="108" w:type="dxa"/>
            <w:bottom w:w="0" w:type="dxa"/>
            <w:right w:w="108" w:type="dxa"/>
          </w:tblCellMar>
        </w:tblPrEx>
        <w:trPr>
          <w:trHeight w:val="93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33</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适应强军与新兴产业急需，产教科融合建设高水平无人机专业的成航实践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何先定、刘建超、王思源、李屹东、刘艳磊、龙玲、王强、田园、刘明鑫、王洵、唐斌、周仁建</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成都航空职业技术学院；中航（成都）无人机系统股份有限公司；成都市无人机产业协会</w:t>
            </w:r>
          </w:p>
        </w:tc>
      </w:tr>
      <w:tr>
        <w:tblPrEx>
          <w:tblCellMar>
            <w:top w:w="0" w:type="dxa"/>
            <w:left w:w="108" w:type="dxa"/>
            <w:bottom w:w="0" w:type="dxa"/>
            <w:right w:w="108" w:type="dxa"/>
          </w:tblCellMar>
        </w:tblPrEx>
        <w:trPr>
          <w:trHeight w:val="4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34</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多元共育 虚实结合 岗课赛证融通的化工专业群高精特人才培养模式创新实践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徐淳、王志斌、何风、屈超、魏菊、李晋、黄康胜、向丹波、张宏、袁晓东、傅利才、陈锦</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四川化工职业技术学院；泸天化（集团）有限责任公司</w:t>
            </w:r>
          </w:p>
        </w:tc>
      </w:tr>
      <w:tr>
        <w:tblPrEx>
          <w:tblCellMar>
            <w:top w:w="0" w:type="dxa"/>
            <w:left w:w="108" w:type="dxa"/>
            <w:bottom w:w="0" w:type="dxa"/>
            <w:right w:w="108" w:type="dxa"/>
          </w:tblCellMar>
        </w:tblPrEx>
        <w:trPr>
          <w:trHeight w:val="2585"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35</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引园筑院、推院助园、链式融通：高职学校产教融合“成都模式”建构与实践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曾宝国、刘吕高、熊建云、柯玲、苏延川、沈翔、沈慧、奉友勤、彭芳、王涛、高瑜、闫益友、张锦惠、曹勇、宋林、彭博、刘婷婷、龚玮蓉、梁钱华、乔子迁、李鸿雁、王文奇、姜雪茹、李尚勇、宁群、肖伟、李波、晏春雷、周俊、李宏昌</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都工业职业技术学院；成都农业科技职业学院；成都工贸职业技术学院；成都市教育局；成都市教育科学研究院；成都经济技术开发区经济和信息化局；成都淮州新城管委会；蒲江县中德中小企业合作区；四川荥经经济开发区；高新发展科技产业园（成都高新发展股份有限公司）</w:t>
            </w:r>
          </w:p>
        </w:tc>
      </w:tr>
      <w:tr>
        <w:tblPrEx>
          <w:tblCellMar>
            <w:top w:w="0" w:type="dxa"/>
            <w:left w:w="108" w:type="dxa"/>
            <w:bottom w:w="0" w:type="dxa"/>
            <w:right w:w="108" w:type="dxa"/>
          </w:tblCellMar>
        </w:tblPrEx>
        <w:trPr>
          <w:trHeight w:val="692"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36</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大师引领 团系互动 创演融通：高职表演艺术类专业人才培养模式创新与实践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陈智林、冯梅、肖得美、李</w:t>
            </w:r>
            <w:r>
              <w:rPr>
                <w:rFonts w:hint="eastAsia" w:ascii="Times New Roman" w:hAnsi="Times New Roman" w:eastAsia="宋体" w:cs="宋体"/>
                <w:color w:val="000000" w:themeColor="text1"/>
                <w:kern w:val="0"/>
                <w:sz w:val="22"/>
                <w14:textFill>
                  <w14:solidFill>
                    <w14:schemeClr w14:val="tx1"/>
                  </w14:solidFill>
                </w14:textFill>
              </w:rPr>
              <w:t>璟</w:t>
            </w:r>
            <w:r>
              <w:rPr>
                <w:rFonts w:hint="eastAsia" w:ascii="Times New Roman" w:hAnsi="Times New Roman"/>
                <w:color w:val="000000" w:themeColor="text1"/>
                <w:kern w:val="0"/>
                <w:sz w:val="22"/>
                <w14:textFill>
                  <w14:solidFill>
                    <w14:schemeClr w14:val="tx1"/>
                  </w14:solidFill>
                </w14:textFill>
              </w:rPr>
              <w:t>、邵阳阳、杨承佶、李丽来、刘谊</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四川艺术职业学院；四川省川剧院</w:t>
            </w:r>
          </w:p>
        </w:tc>
      </w:tr>
      <w:tr>
        <w:tblPrEx>
          <w:tblCellMar>
            <w:top w:w="0" w:type="dxa"/>
            <w:left w:w="108" w:type="dxa"/>
            <w:bottom w:w="0" w:type="dxa"/>
            <w:right w:w="108" w:type="dxa"/>
          </w:tblCellMar>
        </w:tblPrEx>
        <w:trPr>
          <w:trHeight w:val="480"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37</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服务国家重大项目，携手中国二重培养模锻技能紧缺人才的创新与实践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王泽忠、陈晓慈、杨跃、李艳丽、翟开华、吴代建、高凤林、章友谊、李海荣、魏继业、傅骏、李明、李志宏、张倩、张伟、王欢、杜娟</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四川工程职业技术学院；二重（德阳）重型装备有限公司</w:t>
            </w:r>
          </w:p>
        </w:tc>
      </w:tr>
      <w:tr>
        <w:tblPrEx>
          <w:tblCellMar>
            <w:top w:w="0" w:type="dxa"/>
            <w:left w:w="108" w:type="dxa"/>
            <w:bottom w:w="0" w:type="dxa"/>
            <w:right w:w="108" w:type="dxa"/>
          </w:tblCellMar>
        </w:tblPrEx>
        <w:trPr>
          <w:trHeight w:val="973" w:hRule="atLeast"/>
          <w:jc w:val="center"/>
        </w:trPr>
        <w:tc>
          <w:tcPr>
            <w:tcW w:w="277"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38</w:t>
            </w:r>
          </w:p>
        </w:tc>
        <w:tc>
          <w:tcPr>
            <w:tcW w:w="1416"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科技赋能艺术，艺术传承文化——艺术设计类专业综合改革的探索与实践</w:t>
            </w:r>
          </w:p>
        </w:tc>
        <w:tc>
          <w:tcPr>
            <w:tcW w:w="1702"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吴青松、刁纯志、余天翔、蓝鹰、熊殿华、杨凯、徐敏、韩丹、杨长进、杜国赞、庄劲松、余江、谭飞、刘群、冉敏</w:t>
            </w:r>
          </w:p>
        </w:tc>
        <w:tc>
          <w:tcPr>
            <w:tcW w:w="1603" w:type="pct"/>
            <w:tcBorders>
              <w:top w:val="nil"/>
              <w:left w:val="nil"/>
              <w:bottom w:val="single" w:color="auto" w:sz="8" w:space="0"/>
              <w:right w:val="single" w:color="auto" w:sz="8" w:space="0"/>
            </w:tcBorders>
            <w:shd w:val="clear" w:color="000000" w:fill="FFFFFF"/>
            <w:vAlign w:val="center"/>
          </w:tcPr>
          <w:p>
            <w:pPr>
              <w:widowControl/>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成都艺术职业大学；完美世界教育科技（北京）有限公司</w:t>
            </w:r>
          </w:p>
        </w:tc>
      </w:tr>
    </w:tbl>
    <w:p>
      <w:pPr>
        <w:spacing w:line="600" w:lineRule="exact"/>
        <w:rPr>
          <w:rFonts w:ascii="Times New Roman" w:hAnsi="Times New Roman"/>
          <w:color w:val="000000" w:themeColor="text1"/>
          <w14:textFill>
            <w14:solidFill>
              <w14:schemeClr w14:val="tx1"/>
            </w14:solidFill>
          </w14:textFill>
        </w:rPr>
      </w:pPr>
    </w:p>
    <w:sectPr>
      <w:footerReference r:id="rId3" w:type="default"/>
      <w:footerReference r:id="rId4" w:type="even"/>
      <w:pgSz w:w="16838" w:h="11906" w:orient="landscape"/>
      <w:pgMar w:top="2098" w:right="1474" w:bottom="1985" w:left="1588" w:header="170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37</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56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38</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5D"/>
    <w:rsid w:val="00037C37"/>
    <w:rsid w:val="00112420"/>
    <w:rsid w:val="0012206B"/>
    <w:rsid w:val="001B42BA"/>
    <w:rsid w:val="001D2D71"/>
    <w:rsid w:val="00275708"/>
    <w:rsid w:val="002C52BF"/>
    <w:rsid w:val="002E5004"/>
    <w:rsid w:val="00307EB8"/>
    <w:rsid w:val="003310F4"/>
    <w:rsid w:val="0038743D"/>
    <w:rsid w:val="003A34ED"/>
    <w:rsid w:val="00426B51"/>
    <w:rsid w:val="00455BDF"/>
    <w:rsid w:val="00463734"/>
    <w:rsid w:val="0049411B"/>
    <w:rsid w:val="00495C50"/>
    <w:rsid w:val="004B3681"/>
    <w:rsid w:val="004C3366"/>
    <w:rsid w:val="004F0B03"/>
    <w:rsid w:val="00511CC2"/>
    <w:rsid w:val="0051202A"/>
    <w:rsid w:val="005320A0"/>
    <w:rsid w:val="005522DF"/>
    <w:rsid w:val="00575F5D"/>
    <w:rsid w:val="0058769E"/>
    <w:rsid w:val="005E53F1"/>
    <w:rsid w:val="006414A5"/>
    <w:rsid w:val="00645A63"/>
    <w:rsid w:val="00683912"/>
    <w:rsid w:val="00696B71"/>
    <w:rsid w:val="00727EEF"/>
    <w:rsid w:val="00771AFE"/>
    <w:rsid w:val="00794B2C"/>
    <w:rsid w:val="00850378"/>
    <w:rsid w:val="008A4BBE"/>
    <w:rsid w:val="008A7797"/>
    <w:rsid w:val="008C1880"/>
    <w:rsid w:val="008D55B3"/>
    <w:rsid w:val="00941EE0"/>
    <w:rsid w:val="00952CCA"/>
    <w:rsid w:val="00964247"/>
    <w:rsid w:val="009967C5"/>
    <w:rsid w:val="009B6A21"/>
    <w:rsid w:val="009C3E3E"/>
    <w:rsid w:val="009E02A3"/>
    <w:rsid w:val="00A11A46"/>
    <w:rsid w:val="00A2608C"/>
    <w:rsid w:val="00A95FA2"/>
    <w:rsid w:val="00B12F70"/>
    <w:rsid w:val="00B26EDA"/>
    <w:rsid w:val="00B27BFA"/>
    <w:rsid w:val="00C376A3"/>
    <w:rsid w:val="00C6584D"/>
    <w:rsid w:val="00C8580C"/>
    <w:rsid w:val="00CB63EC"/>
    <w:rsid w:val="00CC682A"/>
    <w:rsid w:val="00CD0A9E"/>
    <w:rsid w:val="00D02336"/>
    <w:rsid w:val="00D61086"/>
    <w:rsid w:val="00D702D3"/>
    <w:rsid w:val="00DA4F6D"/>
    <w:rsid w:val="00DD27D1"/>
    <w:rsid w:val="00E3588B"/>
    <w:rsid w:val="00E65288"/>
    <w:rsid w:val="00E84148"/>
    <w:rsid w:val="00E93428"/>
    <w:rsid w:val="00EB18B9"/>
    <w:rsid w:val="00EC0B13"/>
    <w:rsid w:val="00F530C8"/>
    <w:rsid w:val="00F911E5"/>
    <w:rsid w:val="0BF45CC4"/>
    <w:rsid w:val="0DC740B4"/>
    <w:rsid w:val="1BF60771"/>
    <w:rsid w:val="1EFD24DC"/>
    <w:rsid w:val="2B971276"/>
    <w:rsid w:val="2F776F71"/>
    <w:rsid w:val="3B3E85E2"/>
    <w:rsid w:val="3DFE4A05"/>
    <w:rsid w:val="3F5E0F2C"/>
    <w:rsid w:val="46BF26B9"/>
    <w:rsid w:val="4FFF004A"/>
    <w:rsid w:val="5BDF7457"/>
    <w:rsid w:val="5E97386B"/>
    <w:rsid w:val="5EED9CD3"/>
    <w:rsid w:val="5FD74875"/>
    <w:rsid w:val="65673E96"/>
    <w:rsid w:val="67776463"/>
    <w:rsid w:val="67AE7E2D"/>
    <w:rsid w:val="6B7E3117"/>
    <w:rsid w:val="6FFDB820"/>
    <w:rsid w:val="75EFB57F"/>
    <w:rsid w:val="77F69CCE"/>
    <w:rsid w:val="7A732696"/>
    <w:rsid w:val="7ADEA5CF"/>
    <w:rsid w:val="7BBBBF37"/>
    <w:rsid w:val="7D7FFDDC"/>
    <w:rsid w:val="7DFFB4D5"/>
    <w:rsid w:val="7E6F2A54"/>
    <w:rsid w:val="7EF51AD4"/>
    <w:rsid w:val="7F87B942"/>
    <w:rsid w:val="7FD705C9"/>
    <w:rsid w:val="7FDFED4E"/>
    <w:rsid w:val="7FEDC41D"/>
    <w:rsid w:val="7FEF21B4"/>
    <w:rsid w:val="7FFB14BB"/>
    <w:rsid w:val="7FFE2DBD"/>
    <w:rsid w:val="86FF635E"/>
    <w:rsid w:val="8FA90470"/>
    <w:rsid w:val="8FBF0896"/>
    <w:rsid w:val="AFBC5876"/>
    <w:rsid w:val="B5FB4D41"/>
    <w:rsid w:val="BD5FF287"/>
    <w:rsid w:val="BDDF6852"/>
    <w:rsid w:val="BECE708D"/>
    <w:rsid w:val="BF7D3DF6"/>
    <w:rsid w:val="C3F32F70"/>
    <w:rsid w:val="C3FBFF6C"/>
    <w:rsid w:val="DEDDB279"/>
    <w:rsid w:val="DFEA4D95"/>
    <w:rsid w:val="ECB7BBF5"/>
    <w:rsid w:val="ED5BCCEE"/>
    <w:rsid w:val="EF7511A9"/>
    <w:rsid w:val="EF7F21B4"/>
    <w:rsid w:val="EFABBE61"/>
    <w:rsid w:val="EFCF1F73"/>
    <w:rsid w:val="F1F66A8B"/>
    <w:rsid w:val="F375D640"/>
    <w:rsid w:val="F56FF8DB"/>
    <w:rsid w:val="F6BBC8D5"/>
    <w:rsid w:val="F7EFBDB6"/>
    <w:rsid w:val="F7FE75A4"/>
    <w:rsid w:val="F83BFF90"/>
    <w:rsid w:val="F9CF886E"/>
    <w:rsid w:val="F9F935B2"/>
    <w:rsid w:val="FAF8FC80"/>
    <w:rsid w:val="FC5FC5B4"/>
    <w:rsid w:val="FCFFB681"/>
    <w:rsid w:val="FDFF9D8B"/>
    <w:rsid w:val="FDFFEB9B"/>
    <w:rsid w:val="FEDB514B"/>
    <w:rsid w:val="FF5B33AB"/>
    <w:rsid w:val="FF6B5A15"/>
    <w:rsid w:val="FFDD6A21"/>
    <w:rsid w:val="FFEE2318"/>
    <w:rsid w:val="FFFA29B5"/>
    <w:rsid w:val="FFFF9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semiHidden/>
    <w:unhideWhenUsed/>
    <w:qFormat/>
    <w:uiPriority w:val="99"/>
  </w:style>
  <w:style w:type="character" w:customStyle="1" w:styleId="9">
    <w:name w:val="页眉 字符"/>
    <w:link w:val="4"/>
    <w:qFormat/>
    <w:uiPriority w:val="99"/>
    <w:rPr>
      <w:kern w:val="2"/>
      <w:sz w:val="18"/>
      <w:szCs w:val="18"/>
    </w:rPr>
  </w:style>
  <w:style w:type="character" w:customStyle="1" w:styleId="10">
    <w:name w:val="页脚 字符"/>
    <w:link w:val="3"/>
    <w:qFormat/>
    <w:uiPriority w:val="99"/>
    <w:rPr>
      <w:kern w:val="2"/>
      <w:sz w:val="18"/>
      <w:szCs w:val="18"/>
    </w:rPr>
  </w:style>
  <w:style w:type="character" w:customStyle="1" w:styleId="11">
    <w:name w:val="日期 字符"/>
    <w:basedOn w:val="7"/>
    <w:link w:val="2"/>
    <w:semiHidden/>
    <w:qFormat/>
    <w:uiPriority w:val="99"/>
    <w:rPr>
      <w:kern w:val="2"/>
      <w:sz w:val="32"/>
      <w:szCs w:val="22"/>
    </w:rPr>
  </w:style>
  <w:style w:type="character" w:customStyle="1" w:styleId="12">
    <w:name w:val="font11"/>
    <w:basedOn w:val="7"/>
    <w:qFormat/>
    <w:uiPriority w:val="0"/>
    <w:rPr>
      <w:rFonts w:hint="eastAsia" w:ascii="仿宋_GB2312" w:eastAsia="仿宋_GB2312" w:cs="仿宋_GB2312"/>
      <w:color w:val="000000"/>
      <w:sz w:val="24"/>
      <w:szCs w:val="24"/>
      <w:u w:val="none"/>
    </w:rPr>
  </w:style>
  <w:style w:type="paragraph" w:customStyle="1" w:styleId="13">
    <w:name w:val="Revision"/>
    <w:hidden/>
    <w:semiHidden/>
    <w:qFormat/>
    <w:uiPriority w:val="99"/>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1213</Words>
  <Characters>6918</Characters>
  <Lines>57</Lines>
  <Paragraphs>16</Paragraphs>
  <TotalTime>48</TotalTime>
  <ScaleCrop>false</ScaleCrop>
  <LinksUpToDate>false</LinksUpToDate>
  <CharactersWithSpaces>8115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2022-07-22T17:50:00Z</dcterms:created>
  <dc:creator>shuibg</dc:creator>
  <cp:lastModifiedBy>user</cp:lastModifiedBy>
  <cp:lastPrinted>2022-10-18T10:11:00Z</cp:lastPrinted>
  <dcterms:modified xsi:type="dcterms:W3CDTF">2022-10-17T13:52:11Z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