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22"/>
          <w:lang w:val="en-US" w:eastAsia="zh-CN" w:bidi="ar-SA"/>
        </w:rPr>
        <w:t>附件5</w:t>
      </w:r>
    </w:p>
    <w:p>
      <w:pPr>
        <w:spacing w:line="41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  <w:t>2023年四川省职业院校教师教学能力大赛(高职组)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  <w:t>“最佳进步奖”获奖名单</w:t>
      </w:r>
    </w:p>
    <w:bookmarkEnd w:id="0"/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36"/>
          <w:szCs w:val="36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四川现代职业学院</w:t>
      </w:r>
    </w:p>
    <w:p>
      <w:pPr>
        <w:widowControl w:val="0"/>
        <w:kinsoku/>
        <w:autoSpaceDE/>
        <w:autoSpaceDN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四川司法警官职业学院</w:t>
      </w:r>
    </w:p>
    <w:p>
      <w:pPr>
        <w:widowControl w:val="0"/>
        <w:kinsoku/>
        <w:autoSpaceDE/>
        <w:autoSpaceDN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四川电力职业技术学院</w:t>
      </w:r>
    </w:p>
    <w:p>
      <w:pPr>
        <w:widowControl w:val="0"/>
        <w:kinsoku/>
        <w:autoSpaceDE/>
        <w:autoSpaceDN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四川邮电职业技术学院</w:t>
      </w:r>
    </w:p>
    <w:p>
      <w:pPr>
        <w:widowControl w:val="0"/>
        <w:kinsoku/>
        <w:autoSpaceDE/>
        <w:autoSpaceDN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四川职业技术学院</w:t>
      </w:r>
    </w:p>
    <w:p>
      <w:pPr>
        <w:jc w:val="center"/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26D2BFF-ADE1-465B-A98A-70336E87EEF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F4685D-33DD-4105-9CDA-4B4C0FA3E5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DA1A7E7F-1ECB-4CA3-ADC8-2DC148F916F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2587193-41F1-4102-A2AB-D1FB0AE1C4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7DE363A-A877-4604-A261-D7A21BD8BCFF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313A0CF7"/>
    <w:rsid w:val="08C2594B"/>
    <w:rsid w:val="18277578"/>
    <w:rsid w:val="313A0CF7"/>
    <w:rsid w:val="35026F4B"/>
    <w:rsid w:val="79C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2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2023-07-17T09:46:00Z</dcterms:created>
  <dc:creator>胡豆儿</dc:creator>
  <cp:lastModifiedBy>胡豆儿</cp:lastModifiedBy>
  <dcterms:modified xsi:type="dcterms:W3CDTF">2023-07-17T09:51:23Z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78D1E4C732304CD2A4D6FB406E4FEC7C_13</vt:lpwstr>
  </property>
</Properties>
</file>