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BEEC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 xml:space="preserve">附件2       </w:t>
      </w:r>
    </w:p>
    <w:p w14:paraId="7347709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宋体" w:cs="Times New Roman"/>
          <w:b/>
          <w:bCs/>
          <w:i w:val="0"/>
          <w:iCs w:val="0"/>
          <w:color w:val="000000"/>
          <w:kern w:val="0"/>
          <w:sz w:val="36"/>
          <w:szCs w:val="36"/>
          <w:u w:val="none"/>
          <w:lang w:val="en-US" w:eastAsia="zh-CN" w:bidi="ar"/>
        </w:rPr>
      </w:pPr>
      <w:bookmarkStart w:id="13" w:name="_GoBack"/>
      <w:bookmarkEnd w:id="13"/>
      <w:r>
        <w:rPr>
          <w:rFonts w:hint="default" w:ascii="Times New Roman" w:hAnsi="Times New Roman" w:eastAsia="宋体" w:cs="Times New Roman"/>
          <w:b/>
          <w:bCs/>
          <w:color w:val="auto"/>
          <w:sz w:val="36"/>
          <w:szCs w:val="36"/>
          <w:highlight w:val="none"/>
          <w:lang w:val="en-US" w:eastAsia="zh-CN"/>
        </w:rPr>
        <w:t>四川省“能者为师”典型案例</w:t>
      </w:r>
      <w:r>
        <w:rPr>
          <w:rFonts w:hint="default" w:ascii="Times New Roman" w:hAnsi="Times New Roman" w:cs="Times New Roman"/>
          <w:b/>
          <w:bCs/>
          <w:color w:val="auto"/>
          <w:sz w:val="36"/>
          <w:szCs w:val="36"/>
          <w:highlight w:val="none"/>
          <w:lang w:val="en-US" w:eastAsia="zh-CN"/>
        </w:rPr>
        <w:t>拟</w:t>
      </w:r>
      <w:r>
        <w:rPr>
          <w:rFonts w:hint="default" w:ascii="Times New Roman" w:hAnsi="Times New Roman" w:eastAsia="宋体" w:cs="Times New Roman"/>
          <w:b/>
          <w:bCs/>
          <w:color w:val="auto"/>
          <w:sz w:val="36"/>
          <w:szCs w:val="36"/>
          <w:highlight w:val="none"/>
          <w:lang w:val="en-US" w:eastAsia="zh-CN"/>
        </w:rPr>
        <w:t>推介名单</w:t>
      </w:r>
    </w:p>
    <w:p w14:paraId="341CDF72">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i w:val="0"/>
          <w:iCs w:val="0"/>
          <w:color w:val="000000"/>
          <w:kern w:val="0"/>
          <w:sz w:val="36"/>
          <w:szCs w:val="36"/>
          <w:u w:val="none"/>
          <w:lang w:val="en-US" w:eastAsia="zh-CN" w:bidi="ar"/>
        </w:rPr>
      </w:pPr>
    </w:p>
    <w:p w14:paraId="001CE9A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i w:val="0"/>
          <w:iCs w:val="0"/>
          <w:color w:val="000000"/>
          <w:kern w:val="0"/>
          <w:sz w:val="28"/>
          <w:szCs w:val="28"/>
          <w:u w:val="none"/>
          <w:lang w:val="en-US" w:eastAsia="zh-CN" w:bidi="ar"/>
        </w:rPr>
      </w:pPr>
      <w:r>
        <w:rPr>
          <w:rFonts w:hint="default" w:ascii="Times New Roman" w:hAnsi="Times New Roman" w:eastAsia="宋体" w:cs="Times New Roman"/>
          <w:b/>
          <w:bCs/>
          <w:i w:val="0"/>
          <w:iCs w:val="0"/>
          <w:color w:val="000000"/>
          <w:kern w:val="0"/>
          <w:sz w:val="28"/>
          <w:szCs w:val="28"/>
          <w:u w:val="none"/>
          <w:lang w:val="en-US" w:eastAsia="zh-CN" w:bidi="ar"/>
        </w:rPr>
        <w:t>主题一：科学素质与互联网学习（10个）</w:t>
      </w:r>
    </w:p>
    <w:tbl>
      <w:tblPr>
        <w:tblStyle w:val="2"/>
        <w:tblW w:w="5479" w:type="pct"/>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2"/>
        <w:gridCol w:w="6143"/>
        <w:gridCol w:w="234"/>
        <w:gridCol w:w="2729"/>
      </w:tblGrid>
      <w:tr w14:paraId="72EC4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F398F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A41CA4A">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0CC430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6424E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533ED2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DA49F2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“机器人总动员”——整合高校优质资源，打造青少年沉浸式机器人科普体验</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0C64E1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西南石油大学</w:t>
            </w:r>
          </w:p>
        </w:tc>
      </w:tr>
      <w:tr w14:paraId="24453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5253A9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77A515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国产智能车·科普与未来</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2FB351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吉利学院</w:t>
            </w:r>
          </w:p>
        </w:tc>
      </w:tr>
      <w:tr w14:paraId="39800D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470267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3B4638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“绿意盎然，金流不息”社区中小学绿色金融科普体系构建与传播</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146E13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成都理工大学</w:t>
            </w:r>
          </w:p>
        </w:tc>
      </w:tr>
      <w:tr w14:paraId="74B28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08E8E3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0682C2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麓湖生态实验基地自然教育系列课程之“蟹蟹生活”</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DA1519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成都清源水环境治理有限公司</w:t>
            </w:r>
          </w:p>
        </w:tc>
      </w:tr>
      <w:tr w14:paraId="0FB76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1216FB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E3FC84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王牌飞行员——模拟飞行运动</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5D3A6A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成都立巢航空博物馆</w:t>
            </w:r>
          </w:p>
        </w:tc>
      </w:tr>
      <w:tr w14:paraId="6DE6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24119A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A338CF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“家庭科普小实验” 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E6511A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小金县教育局</w:t>
            </w:r>
          </w:p>
        </w:tc>
      </w:tr>
      <w:tr w14:paraId="3525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758C3E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60AE9A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攀枝花市二中科学探究课程的开发与实施</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B44046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攀枝花市第二初级中学校</w:t>
            </w:r>
          </w:p>
        </w:tc>
      </w:tr>
      <w:tr w14:paraId="2D631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0A7BB0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5B45EE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构建科技与艺术融合的文创社区原型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428FF4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成都师范学院</w:t>
            </w:r>
          </w:p>
        </w:tc>
      </w:tr>
      <w:tr w14:paraId="6B827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ED464B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593621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服务川陕甘结合部区域中心城市中小学，高职院校依托专业优势开展科普活动的探索与实践</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5D271E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四川信息职业技术学院</w:t>
            </w:r>
          </w:p>
        </w:tc>
      </w:tr>
      <w:tr w14:paraId="08D5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5B0768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3C2DB4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“护近寻远”--室内外精准定位系统应用典型案例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689502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四川城市职业学院</w:t>
            </w:r>
          </w:p>
        </w:tc>
      </w:tr>
      <w:tr w14:paraId="38A64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50A117EB">
            <w:pPr>
              <w:jc w:val="center"/>
              <w:rPr>
                <w:rFonts w:hint="default" w:ascii="Times New Roman" w:hAnsi="Times New Roman" w:eastAsia="宋体" w:cs="Times New Roman"/>
                <w:b/>
                <w:bCs/>
                <w:i w:val="0"/>
                <w:iCs w:val="0"/>
                <w:color w:val="000000"/>
                <w:sz w:val="26"/>
                <w:szCs w:val="26"/>
                <w:u w:val="none"/>
              </w:rPr>
            </w:pPr>
          </w:p>
          <w:p w14:paraId="5522D9C3">
            <w:pPr>
              <w:jc w:val="left"/>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主题二：职业技能（6个）</w:t>
            </w:r>
          </w:p>
        </w:tc>
        <w:tc>
          <w:tcPr>
            <w:tcW w:w="117" w:type="pct"/>
            <w:tcBorders>
              <w:top w:val="nil"/>
              <w:left w:val="nil"/>
              <w:bottom w:val="nil"/>
              <w:right w:val="nil"/>
            </w:tcBorders>
            <w:noWrap w:val="0"/>
            <w:vAlign w:val="center"/>
          </w:tcPr>
          <w:p w14:paraId="64411529">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5A7DBE23">
            <w:pPr>
              <w:jc w:val="center"/>
              <w:rPr>
                <w:rFonts w:hint="default" w:ascii="Times New Roman" w:hAnsi="Times New Roman" w:eastAsia="方正仿宋简体" w:cs="Times New Roman"/>
                <w:b/>
                <w:bCs/>
                <w:i w:val="0"/>
                <w:iCs w:val="0"/>
                <w:color w:val="000000"/>
                <w:sz w:val="26"/>
                <w:szCs w:val="26"/>
                <w:u w:val="none"/>
              </w:rPr>
            </w:pPr>
          </w:p>
        </w:tc>
      </w:tr>
      <w:tr w14:paraId="27A1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5689FE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775C1B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7DB1C11">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412D9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F904EE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33200D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“有爱无碍”视障者有声语言公益课程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59129B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成都锦城学院</w:t>
            </w:r>
          </w:p>
        </w:tc>
      </w:tr>
      <w:tr w14:paraId="73003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085859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12C2B7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茶和天下，能创未来</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E8A46C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四川职业技术学院</w:t>
            </w:r>
          </w:p>
        </w:tc>
      </w:tr>
      <w:tr w14:paraId="654D6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DB3EBE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6DE094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打通学校教师服务社区教育“最后一公里”，为社区教育发展注入“源头活水”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758FBC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郫都区教育局</w:t>
            </w:r>
          </w:p>
        </w:tc>
      </w:tr>
      <w:tr w14:paraId="1F19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E48F16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B1ABCA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中式文化元素在室内空间中的手绘技能表现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4A425C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内江职业技术学院</w:t>
            </w:r>
          </w:p>
        </w:tc>
      </w:tr>
      <w:tr w14:paraId="79301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D3EC78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D190EA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职业技能培训课程“小儿推拿”助力在校大学生基层就业与社区服务</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6B9C46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内江卫生与健康职业学院</w:t>
            </w:r>
          </w:p>
        </w:tc>
      </w:tr>
      <w:tr w14:paraId="2B3A5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2B3CEB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4F8F46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校企合作结硕果 技能培训育英才</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379B5E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四川机电职业技术学院</w:t>
            </w:r>
          </w:p>
        </w:tc>
      </w:tr>
      <w:tr w14:paraId="01019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73D1AE16">
            <w:pPr>
              <w:jc w:val="center"/>
              <w:rPr>
                <w:rFonts w:hint="default" w:ascii="Times New Roman" w:hAnsi="Times New Roman" w:eastAsia="宋体" w:cs="Times New Roman"/>
                <w:b/>
                <w:bCs/>
                <w:i w:val="0"/>
                <w:iCs w:val="0"/>
                <w:color w:val="000000"/>
                <w:sz w:val="26"/>
                <w:szCs w:val="26"/>
                <w:u w:val="none"/>
              </w:rPr>
            </w:pPr>
          </w:p>
          <w:p w14:paraId="0E9F921D">
            <w:pPr>
              <w:jc w:val="both"/>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主题三：家庭教育指导（21个）</w:t>
            </w:r>
          </w:p>
        </w:tc>
        <w:tc>
          <w:tcPr>
            <w:tcW w:w="117" w:type="pct"/>
            <w:tcBorders>
              <w:top w:val="nil"/>
              <w:left w:val="nil"/>
              <w:bottom w:val="nil"/>
              <w:right w:val="nil"/>
            </w:tcBorders>
            <w:noWrap w:val="0"/>
            <w:vAlign w:val="center"/>
          </w:tcPr>
          <w:p w14:paraId="43B02661">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55730592">
            <w:pPr>
              <w:jc w:val="center"/>
              <w:rPr>
                <w:rFonts w:hint="default" w:ascii="Times New Roman" w:hAnsi="Times New Roman" w:eastAsia="方正仿宋简体" w:cs="Times New Roman"/>
                <w:b/>
                <w:bCs/>
                <w:i w:val="0"/>
                <w:iCs w:val="0"/>
                <w:color w:val="000000"/>
                <w:sz w:val="26"/>
                <w:szCs w:val="26"/>
                <w:u w:val="none"/>
              </w:rPr>
            </w:pPr>
          </w:p>
        </w:tc>
      </w:tr>
      <w:tr w14:paraId="1D3F8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A3EABD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D0E5B9C">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FC0BEE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7D601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B6ADF0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32118C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家校社协同育人背景下社会组织推动家庭教育发展的实践探索</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AFC41F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青白江区家庭教育协会</w:t>
            </w:r>
          </w:p>
        </w:tc>
      </w:tr>
      <w:tr w14:paraId="5494B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EA5E4D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A3A9B7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“绿道上的亲子时光”—金牛区社区营造早教服务创新模式</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BF2886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金牛区教育局、金牛区社区教育学院</w:t>
            </w:r>
          </w:p>
        </w:tc>
      </w:tr>
      <w:tr w14:paraId="77700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8B4001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B70D55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“教育心桥·社区连接”</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28B38C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泸县教师进修学校（泸县社区教育学院）</w:t>
            </w:r>
          </w:p>
        </w:tc>
      </w:tr>
      <w:tr w14:paraId="1F198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CCAA9A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B1C24A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构建协同新生态，合力共育好青年——攀枝花市七中开展家庭教育指导工作案例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6C40CE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攀枝花市第七高级中学校</w:t>
            </w:r>
          </w:p>
        </w:tc>
      </w:tr>
      <w:tr w14:paraId="2D964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3F30BB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171478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“茶社讲坛”——金牛家庭教育进社区典型案例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83E2FE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金牛区教育局、金牛区社区教育学院</w:t>
            </w:r>
          </w:p>
        </w:tc>
      </w:tr>
      <w:tr w14:paraId="69DB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F67386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DF85DD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五绘科普，润泽童心——数字化科普教育儿童绘本基地典型案例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32358C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川南幼儿师范高等专科学校</w:t>
            </w:r>
          </w:p>
        </w:tc>
      </w:tr>
      <w:tr w14:paraId="64746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9ADD52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1B2F58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心启航 共成长</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AACB1B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达州开大渠县分校</w:t>
            </w:r>
          </w:p>
        </w:tc>
      </w:tr>
      <w:tr w14:paraId="2C40C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9C4A2A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1E5528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亲情温暖，德行传承</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FF23D3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巴中市巴州区第一小学校</w:t>
            </w:r>
          </w:p>
        </w:tc>
      </w:tr>
      <w:tr w14:paraId="01C03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370D57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B4256A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未成年人保护创新案例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B6FE2A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四川省乐至县教师进修学校</w:t>
            </w:r>
          </w:p>
        </w:tc>
      </w:tr>
      <w:tr w14:paraId="203A0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975429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B08CFF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助力父母，科学育儿——“小禾苗”生命早期1000天社区家庭教育</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51928D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四川长江职业学院</w:t>
            </w:r>
          </w:p>
        </w:tc>
      </w:tr>
      <w:tr w14:paraId="564579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E3F434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C08816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以社区儿童之家为依托的师范生服务农村家庭教育实践项目</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4267B9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川南幼儿师范高等专科学校</w:t>
            </w:r>
          </w:p>
        </w:tc>
      </w:tr>
      <w:tr w14:paraId="7B742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F2ACB9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10BDB6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“玩”出亲密感--幼儿家庭亲子游戏指导实践项目</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6D3AD9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绵阳开放大学</w:t>
            </w:r>
          </w:p>
        </w:tc>
      </w:tr>
      <w:tr w14:paraId="3FF0F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F97656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794FEF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2023年尚学龙泉·家庭教育指导服务项目</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CB9899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龙泉驿区社区教育中心</w:t>
            </w:r>
          </w:p>
        </w:tc>
      </w:tr>
      <w:tr w14:paraId="0E179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34D657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1990D5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以“实践教学与服务地方”双赢为导向，构建</w:t>
            </w:r>
            <w:bookmarkStart w:id="0" w:name="FunCunProofread74271"/>
            <w:r>
              <w:rPr>
                <w:rFonts w:hint="default" w:ascii="Times New Roman" w:hAnsi="Times New Roman" w:eastAsia="方正仿宋简体" w:cs="Times New Roman"/>
                <w:b/>
                <w:bCs/>
                <w:i w:val="0"/>
                <w:iCs w:val="0"/>
                <w:color w:val="000000"/>
                <w:kern w:val="0"/>
                <w:sz w:val="26"/>
                <w:szCs w:val="26"/>
                <w:u w:val="none"/>
                <w:lang w:val="en-US" w:eastAsia="zh-CN" w:bidi="ar"/>
              </w:rPr>
              <w:t>“</w:t>
            </w:r>
            <w:bookmarkEnd w:id="0"/>
            <w:r>
              <w:rPr>
                <w:rFonts w:hint="default" w:ascii="Times New Roman" w:hAnsi="Times New Roman" w:eastAsia="方正仿宋简体" w:cs="Times New Roman"/>
                <w:b/>
                <w:bCs/>
                <w:i w:val="0"/>
                <w:iCs w:val="0"/>
                <w:color w:val="000000"/>
                <w:kern w:val="0"/>
                <w:sz w:val="26"/>
                <w:szCs w:val="26"/>
                <w:u w:val="none"/>
                <w:lang w:val="en-US" w:eastAsia="zh-CN" w:bidi="ar"/>
              </w:rPr>
              <w:t>三四五</w:t>
            </w:r>
            <w:bookmarkStart w:id="1" w:name="FunCunProofread74231"/>
            <w:r>
              <w:rPr>
                <w:rFonts w:hint="default" w:ascii="Times New Roman" w:hAnsi="Times New Roman" w:eastAsia="方正仿宋简体" w:cs="Times New Roman"/>
                <w:b/>
                <w:bCs/>
                <w:i w:val="0"/>
                <w:iCs w:val="0"/>
                <w:color w:val="000000"/>
                <w:kern w:val="0"/>
                <w:sz w:val="26"/>
                <w:szCs w:val="26"/>
                <w:u w:val="none"/>
                <w:lang w:val="en-US" w:eastAsia="zh-CN" w:bidi="ar"/>
              </w:rPr>
              <w:t>”</w:t>
            </w:r>
            <w:bookmarkEnd w:id="1"/>
            <w:r>
              <w:rPr>
                <w:rFonts w:hint="default" w:ascii="Times New Roman" w:hAnsi="Times New Roman" w:eastAsia="方正仿宋简体" w:cs="Times New Roman"/>
                <w:b/>
                <w:bCs/>
                <w:i w:val="0"/>
                <w:iCs w:val="0"/>
                <w:color w:val="000000"/>
                <w:kern w:val="0"/>
                <w:sz w:val="26"/>
                <w:szCs w:val="26"/>
                <w:u w:val="none"/>
                <w:lang w:val="en-US" w:eastAsia="zh-CN" w:bidi="ar"/>
              </w:rPr>
              <w:t>赋能式家庭教育指导模式</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0B17ED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川北幼儿师范高等专科学校</w:t>
            </w:r>
          </w:p>
        </w:tc>
      </w:tr>
      <w:tr w14:paraId="76F4A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FDD160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4AC20B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利用“云指导”助力“寒暑假”隔代教育支持策略</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11D1CD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成都市武侯区望江幼儿园</w:t>
            </w:r>
          </w:p>
        </w:tc>
      </w:tr>
      <w:tr w14:paraId="2139D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847609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0B48CD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家庭教育与亲子关系</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56812D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新都社区教育学院</w:t>
            </w:r>
          </w:p>
        </w:tc>
      </w:tr>
      <w:tr w14:paraId="56439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B8B702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BA6242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家庭教育教学课程系列微课</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580CE6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犍为县清溪初级中学</w:t>
            </w:r>
          </w:p>
        </w:tc>
      </w:tr>
      <w:tr w14:paraId="4944A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EB65B1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051CFB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英雄花开，春晖育才</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C4D049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攀枝花市东区教育和体育局</w:t>
            </w:r>
          </w:p>
        </w:tc>
      </w:tr>
      <w:tr w14:paraId="77757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91408B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488AAE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“推进积极教育，建设幸福家庭”</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DD5307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宜宾开放大学兴文分校</w:t>
            </w:r>
          </w:p>
        </w:tc>
      </w:tr>
      <w:tr w14:paraId="776B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A64B0A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78A414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家校社协同共育的县域实践与探索——以广元市旺苍县为例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17686F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旺苍县社区学院</w:t>
            </w:r>
          </w:p>
        </w:tc>
      </w:tr>
      <w:tr w14:paraId="0139D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8F2BA9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16EE0C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bookmarkStart w:id="2" w:name="FunCunProofread76432"/>
            <w:r>
              <w:rPr>
                <w:rFonts w:hint="default" w:ascii="Times New Roman" w:hAnsi="Times New Roman" w:eastAsia="方正仿宋简体" w:cs="Times New Roman"/>
                <w:b/>
                <w:bCs/>
                <w:i w:val="0"/>
                <w:iCs w:val="0"/>
                <w:color w:val="000000"/>
                <w:kern w:val="0"/>
                <w:sz w:val="26"/>
                <w:szCs w:val="26"/>
                <w:u w:val="none"/>
                <w:lang w:val="en-US" w:eastAsia="zh-CN" w:bidi="ar"/>
              </w:rPr>
              <w:t>乡遇</w:t>
            </w:r>
            <w:bookmarkEnd w:id="2"/>
            <w:r>
              <w:rPr>
                <w:rFonts w:hint="default" w:ascii="Times New Roman" w:hAnsi="Times New Roman" w:eastAsia="方正仿宋简体" w:cs="Times New Roman"/>
                <w:b/>
                <w:bCs/>
                <w:i w:val="0"/>
                <w:iCs w:val="0"/>
                <w:color w:val="000000"/>
                <w:kern w:val="0"/>
                <w:sz w:val="26"/>
                <w:szCs w:val="26"/>
                <w:u w:val="none"/>
                <w:lang w:val="en-US" w:eastAsia="zh-CN" w:bidi="ar"/>
              </w:rPr>
              <w:t>青春 赓续文脉</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30855D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成都师范学院</w:t>
            </w:r>
          </w:p>
        </w:tc>
      </w:tr>
      <w:tr w14:paraId="16188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105A0779">
            <w:pPr>
              <w:jc w:val="center"/>
              <w:rPr>
                <w:rFonts w:hint="default" w:ascii="Times New Roman" w:hAnsi="Times New Roman" w:eastAsia="宋体" w:cs="Times New Roman"/>
                <w:b/>
                <w:bCs/>
                <w:i w:val="0"/>
                <w:iCs w:val="0"/>
                <w:color w:val="000000"/>
                <w:sz w:val="26"/>
                <w:szCs w:val="26"/>
                <w:u w:val="none"/>
              </w:rPr>
            </w:pPr>
          </w:p>
          <w:p w14:paraId="6BEFFB77">
            <w:pPr>
              <w:jc w:val="left"/>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主题四：乡村振兴（22个）</w:t>
            </w:r>
          </w:p>
        </w:tc>
        <w:tc>
          <w:tcPr>
            <w:tcW w:w="117" w:type="pct"/>
            <w:tcBorders>
              <w:top w:val="nil"/>
              <w:left w:val="nil"/>
              <w:bottom w:val="nil"/>
              <w:right w:val="nil"/>
            </w:tcBorders>
            <w:noWrap w:val="0"/>
            <w:vAlign w:val="center"/>
          </w:tcPr>
          <w:p w14:paraId="30D509D9">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6D24C8E2">
            <w:pPr>
              <w:jc w:val="center"/>
              <w:rPr>
                <w:rFonts w:hint="default" w:ascii="Times New Roman" w:hAnsi="Times New Roman" w:eastAsia="方正仿宋简体" w:cs="Times New Roman"/>
                <w:b/>
                <w:bCs/>
                <w:i w:val="0"/>
                <w:iCs w:val="0"/>
                <w:color w:val="000000"/>
                <w:sz w:val="26"/>
                <w:szCs w:val="26"/>
                <w:u w:val="none"/>
              </w:rPr>
            </w:pPr>
          </w:p>
        </w:tc>
      </w:tr>
      <w:tr w14:paraId="525A2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EAA534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D8B11E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DCF197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2E24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52B98F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641AAB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助力民宿管家·点亮和美乡村——川西旅游民宿人才提质培优行动</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5DA4EE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四川城市职业学院</w:t>
            </w:r>
          </w:p>
        </w:tc>
      </w:tr>
      <w:tr w14:paraId="5F52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EF690F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60FE62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巴山土鸡叫响美丽乡村——为我所能让乡村留守者有所养、有所为</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009E90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南江县小河职业中学</w:t>
            </w:r>
          </w:p>
        </w:tc>
      </w:tr>
      <w:tr w14:paraId="6AE25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E4BA0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4B5041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中医学院教师团队助力达州市基层中医馆建设</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F432BF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达州中医药职业学院</w:t>
            </w:r>
          </w:p>
        </w:tc>
      </w:tr>
      <w:tr w14:paraId="54B086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7A2B06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59F0B8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以“沫若讲坛”促“能者为师”</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459E97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乐山市沙湾区委宣传部</w:t>
            </w:r>
          </w:p>
        </w:tc>
      </w:tr>
      <w:tr w14:paraId="1188C0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A99739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C4EF4A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乡村振兴背景下林下仿野生平菇的栽培研究与应用</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139BB1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民办四川天一学院</w:t>
            </w:r>
          </w:p>
        </w:tc>
      </w:tr>
      <w:tr w14:paraId="19F92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349467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97C6D0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党建引领中国梦 长效发展致富路——打造同心村产业链，做强高山蔬菜产业园区</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B905B5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乐山职业技术学院</w:t>
            </w:r>
          </w:p>
        </w:tc>
      </w:tr>
      <w:tr w14:paraId="2F23D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C6DF0D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9AA8D1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“乡村振兴”视角下电子商务专业课程思政探索与实践</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1752AC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成都职业技术学院</w:t>
            </w:r>
          </w:p>
        </w:tc>
      </w:tr>
      <w:tr w14:paraId="1BC2A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7CAEFF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7D9194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赋能数字信息素养，助力乡村人才振兴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97B6F1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四川邮电职业技术学院</w:t>
            </w:r>
          </w:p>
        </w:tc>
      </w:tr>
      <w:tr w14:paraId="53A93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9BCCB3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259303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蜂舞江油，酿造乡村振兴“甜蜜事业”</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44BC49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江油市武都镇成人教育学校</w:t>
            </w:r>
          </w:p>
        </w:tc>
      </w:tr>
      <w:tr w14:paraId="59464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E95761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77FC4F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新财经助力乡村振兴，农门账服务新农人——亮亮农场财务管理案例分析</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E85A6B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西南财经大学天府学院</w:t>
            </w:r>
          </w:p>
        </w:tc>
      </w:tr>
      <w:tr w14:paraId="4B4E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02DF1B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155DF3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“三协同、三转换”——乡村振兴背景下《包装设计》项目化课堂教学实践</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2504C4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四川工商职业技术学院</w:t>
            </w:r>
          </w:p>
        </w:tc>
      </w:tr>
      <w:tr w14:paraId="1C7DF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BB96D8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440B2B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培训幼儿园党支部书记，育强乡村教育振兴“头雁”队伍</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6D6018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川南幼儿师范高等专科学校</w:t>
            </w:r>
          </w:p>
        </w:tc>
      </w:tr>
      <w:tr w14:paraId="6F081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697FEB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8D4599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深化语言扶贫：以“ 能者为师 ”推动“一村一幼 ”项目发展</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F2B722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四川电影电视学院</w:t>
            </w:r>
          </w:p>
        </w:tc>
      </w:tr>
      <w:tr w14:paraId="7EB26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499856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D81E8D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以需促培，助力乡村振兴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C8CE4C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南充科技职业学院</w:t>
            </w:r>
          </w:p>
        </w:tc>
      </w:tr>
      <w:tr w14:paraId="05A70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33D6AB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8610FE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万源市石塘镇杉林湾村托底性帮扶——乡村振兴规划设计实践案例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B7272D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四川文理学院</w:t>
            </w:r>
          </w:p>
        </w:tc>
      </w:tr>
      <w:tr w14:paraId="314E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193762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36B470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乡村振兴·甜蜜果缘</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9597C4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四川科技职业学院</w:t>
            </w:r>
          </w:p>
        </w:tc>
      </w:tr>
      <w:tr w14:paraId="0D061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4BBDFC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8C988D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农产品拍摄助力乡村振兴——发展农村电商新业态工作案例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028239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四川城市职业学院</w:t>
            </w:r>
          </w:p>
        </w:tc>
      </w:tr>
      <w:tr w14:paraId="4E772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601902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90B007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电商助农，提技增收</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9C3DDF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东部新区贾家街道办事处</w:t>
            </w:r>
          </w:p>
        </w:tc>
      </w:tr>
      <w:tr w14:paraId="1135A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760244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4C263E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郫都区“锦绣东林”川西林盘（含高标准农田）建设技术服务</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3F6893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四川大学锦江学院</w:t>
            </w:r>
          </w:p>
        </w:tc>
      </w:tr>
      <w:tr w14:paraId="64A98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55E6B5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F04B28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持续搞好幼儿教师“国培”，促进乡村教育振兴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98ACF7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川南幼儿师范高等专科学校</w:t>
            </w:r>
          </w:p>
        </w:tc>
      </w:tr>
      <w:tr w14:paraId="75FF6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EE6637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BCD9ED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学校专业特色助力地方乡村振兴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BA4EDA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四川邮电职业技术学院</w:t>
            </w:r>
          </w:p>
        </w:tc>
      </w:tr>
      <w:tr w14:paraId="18A3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1F5D18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60D07C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乡村文旅规划——瞻淇村“鱼化龙”IP新媒体推广规划案</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07B65F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四川电影电视学院</w:t>
            </w:r>
          </w:p>
        </w:tc>
      </w:tr>
      <w:tr w14:paraId="381CE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0C87B2E9">
            <w:pPr>
              <w:jc w:val="center"/>
              <w:rPr>
                <w:rFonts w:hint="default" w:ascii="Times New Roman" w:hAnsi="Times New Roman" w:eastAsia="宋体" w:cs="Times New Roman"/>
                <w:b/>
                <w:bCs/>
                <w:i w:val="0"/>
                <w:iCs w:val="0"/>
                <w:color w:val="000000"/>
                <w:sz w:val="28"/>
                <w:szCs w:val="28"/>
                <w:u w:val="none"/>
              </w:rPr>
            </w:pPr>
          </w:p>
          <w:p w14:paraId="55AEC7E3">
            <w:pPr>
              <w:jc w:val="left"/>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主题五：非遗传承（16个）</w:t>
            </w:r>
          </w:p>
        </w:tc>
        <w:tc>
          <w:tcPr>
            <w:tcW w:w="117" w:type="pct"/>
            <w:tcBorders>
              <w:top w:val="nil"/>
              <w:left w:val="nil"/>
              <w:bottom w:val="nil"/>
              <w:right w:val="nil"/>
            </w:tcBorders>
            <w:noWrap w:val="0"/>
            <w:vAlign w:val="center"/>
          </w:tcPr>
          <w:p w14:paraId="00B93AB9">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4A73CB62">
            <w:pPr>
              <w:jc w:val="center"/>
              <w:rPr>
                <w:rFonts w:hint="default" w:ascii="Times New Roman" w:hAnsi="Times New Roman" w:eastAsia="方正仿宋简体" w:cs="Times New Roman"/>
                <w:b/>
                <w:bCs/>
                <w:i w:val="0"/>
                <w:iCs w:val="0"/>
                <w:color w:val="000000"/>
                <w:sz w:val="26"/>
                <w:szCs w:val="26"/>
                <w:u w:val="none"/>
              </w:rPr>
            </w:pPr>
          </w:p>
        </w:tc>
      </w:tr>
      <w:tr w14:paraId="7154D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264B6F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9F694A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2CCD21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19B77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78F0D5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829E0A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为染而生 传播非遗——峨眉扎染“能者为师”典型案例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2590B7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乐山师范学院</w:t>
            </w:r>
          </w:p>
        </w:tc>
      </w:tr>
      <w:tr w14:paraId="28BEF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5EFA97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4F4FBC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“蜀绣传承新篇章”社区教育助力</w:t>
            </w:r>
            <w:bookmarkStart w:id="3" w:name="FunCunProofread86014"/>
            <w:r>
              <w:rPr>
                <w:rFonts w:hint="default" w:ascii="Times New Roman" w:hAnsi="Times New Roman" w:eastAsia="方正仿宋简体" w:cs="Times New Roman"/>
                <w:b/>
                <w:bCs/>
                <w:i w:val="0"/>
                <w:iCs w:val="0"/>
                <w:color w:val="000000"/>
                <w:kern w:val="0"/>
                <w:sz w:val="26"/>
                <w:szCs w:val="26"/>
                <w:u w:val="none"/>
                <w:lang w:val="en-US" w:eastAsia="zh-CN" w:bidi="ar"/>
              </w:rPr>
              <w:t>非遗文化</w:t>
            </w:r>
            <w:bookmarkEnd w:id="3"/>
            <w:r>
              <w:rPr>
                <w:rFonts w:hint="default" w:ascii="Times New Roman" w:hAnsi="Times New Roman" w:eastAsia="方正仿宋简体" w:cs="Times New Roman"/>
                <w:b/>
                <w:bCs/>
                <w:i w:val="0"/>
                <w:iCs w:val="0"/>
                <w:color w:val="000000"/>
                <w:kern w:val="0"/>
                <w:sz w:val="26"/>
                <w:szCs w:val="26"/>
                <w:u w:val="none"/>
                <w:lang w:val="en-US" w:eastAsia="zh-CN" w:bidi="ar"/>
              </w:rPr>
              <w:t>焕发新生</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7F42CF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四川华新现代职业学院</w:t>
            </w:r>
          </w:p>
        </w:tc>
      </w:tr>
      <w:tr w14:paraId="38897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CB630C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90287E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地方高校、社区“非遗传承共同体”培育实践</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59B4F2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成都师范学院</w:t>
            </w:r>
          </w:p>
        </w:tc>
      </w:tr>
      <w:tr w14:paraId="2BD95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8EBA9B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536955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“龙城音乐非遗·社区星火永相传”</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6A0F7A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泸县教师进修学校（泸县社区教育学院）</w:t>
            </w:r>
          </w:p>
        </w:tc>
      </w:tr>
      <w:tr w14:paraId="161D0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17E386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3EB2D0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我为太极拳的传承推广添彩</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160665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巴中市巴州区石门小学</w:t>
            </w:r>
          </w:p>
        </w:tc>
      </w:tr>
      <w:tr w14:paraId="34804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50EDD6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C64827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非遗传承赋能社区教育 竹纸制作技艺遍地开花</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CF04C9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夹江县教育局</w:t>
            </w:r>
          </w:p>
        </w:tc>
      </w:tr>
      <w:tr w14:paraId="4B7F6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4A3EBC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36139C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 xml:space="preserve">乐享曲艺之美·传承非遗精粹  </w:t>
            </w:r>
            <w:r>
              <w:rPr>
                <w:rFonts w:hint="default" w:ascii="Times New Roman" w:hAnsi="Times New Roman" w:eastAsia="方正仿宋简体" w:cs="Times New Roman"/>
                <w:b/>
                <w:bCs/>
                <w:i w:val="0"/>
                <w:iCs w:val="0"/>
                <w:color w:val="000000"/>
                <w:kern w:val="0"/>
                <w:sz w:val="26"/>
                <w:szCs w:val="26"/>
                <w:u w:val="none"/>
                <w:lang w:val="en-US" w:eastAsia="zh-CN" w:bidi="ar"/>
              </w:rPr>
              <w:br w:type="textWrapping"/>
            </w:r>
            <w:r>
              <w:rPr>
                <w:rFonts w:hint="default" w:ascii="Times New Roman" w:hAnsi="Times New Roman" w:eastAsia="方正仿宋简体" w:cs="Times New Roman"/>
                <w:b/>
                <w:bCs/>
                <w:i w:val="0"/>
                <w:iCs w:val="0"/>
                <w:color w:val="000000"/>
                <w:kern w:val="0"/>
                <w:sz w:val="26"/>
                <w:szCs w:val="26"/>
                <w:u w:val="none"/>
                <w:lang w:val="en-US" w:eastAsia="zh-CN" w:bidi="ar"/>
              </w:rPr>
              <w:t>——广安职业技术学院开展非遗曲艺传承实践探索</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E5F50B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广安职业技术学院</w:t>
            </w:r>
          </w:p>
        </w:tc>
      </w:tr>
      <w:tr w14:paraId="75E87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C2D396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FC1039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过传统节日，讲中国故事，扬中医药文化</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959C39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达州中医药职业学院</w:t>
            </w:r>
          </w:p>
        </w:tc>
      </w:tr>
      <w:tr w14:paraId="5B023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47F01D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F41FCF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传承</w:t>
            </w:r>
            <w:bookmarkStart w:id="4" w:name="FunCunProofread88384"/>
            <w:r>
              <w:rPr>
                <w:rFonts w:hint="default" w:ascii="Times New Roman" w:hAnsi="Times New Roman" w:eastAsia="方正仿宋简体" w:cs="Times New Roman"/>
                <w:b/>
                <w:bCs/>
                <w:i w:val="0"/>
                <w:iCs w:val="0"/>
                <w:color w:val="000000"/>
                <w:kern w:val="0"/>
                <w:sz w:val="26"/>
                <w:szCs w:val="26"/>
                <w:u w:val="none"/>
                <w:lang w:val="en-US" w:eastAsia="zh-CN" w:bidi="ar"/>
              </w:rPr>
              <w:t>非遗文化</w:t>
            </w:r>
            <w:bookmarkEnd w:id="4"/>
            <w:r>
              <w:rPr>
                <w:rFonts w:hint="default" w:ascii="Times New Roman" w:hAnsi="Times New Roman" w:eastAsia="方正仿宋简体" w:cs="Times New Roman"/>
                <w:b/>
                <w:bCs/>
                <w:i w:val="0"/>
                <w:iCs w:val="0"/>
                <w:color w:val="000000"/>
                <w:kern w:val="0"/>
                <w:sz w:val="26"/>
                <w:szCs w:val="26"/>
                <w:u w:val="none"/>
                <w:lang w:val="en-US" w:eastAsia="zh-CN" w:bidi="ar"/>
              </w:rPr>
              <w:t>，赋能乡村振兴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0BEAAA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巴中市巴州区大和乡中心小学校</w:t>
            </w:r>
          </w:p>
        </w:tc>
      </w:tr>
      <w:tr w14:paraId="690B0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679169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B7D1AB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商务英语专业将非遗传承融入实践教学</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B0141F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成都职业技术学院</w:t>
            </w:r>
          </w:p>
        </w:tc>
      </w:tr>
      <w:tr w14:paraId="2E3BE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C346A2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AF50F0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凤凰纸艺工作坊传承“王应新折纸”</w:t>
            </w:r>
            <w:bookmarkStart w:id="5" w:name="FunCunProofread89164"/>
            <w:r>
              <w:rPr>
                <w:rFonts w:hint="default" w:ascii="Times New Roman" w:hAnsi="Times New Roman" w:eastAsia="方正仿宋简体" w:cs="Times New Roman"/>
                <w:b/>
                <w:bCs/>
                <w:i w:val="0"/>
                <w:iCs w:val="0"/>
                <w:color w:val="000000"/>
                <w:kern w:val="0"/>
                <w:sz w:val="26"/>
                <w:szCs w:val="26"/>
                <w:u w:val="none"/>
                <w:lang w:val="en-US" w:eastAsia="zh-CN" w:bidi="ar"/>
              </w:rPr>
              <w:t>非遗文化</w:t>
            </w:r>
            <w:bookmarkEnd w:id="5"/>
            <w:r>
              <w:rPr>
                <w:rFonts w:hint="default" w:ascii="Times New Roman" w:hAnsi="Times New Roman" w:eastAsia="方正仿宋简体" w:cs="Times New Roman"/>
                <w:b/>
                <w:bCs/>
                <w:i w:val="0"/>
                <w:iCs w:val="0"/>
                <w:color w:val="000000"/>
                <w:kern w:val="0"/>
                <w:sz w:val="26"/>
                <w:szCs w:val="26"/>
                <w:u w:val="none"/>
                <w:lang w:val="en-US" w:eastAsia="zh-CN" w:bidi="ar"/>
              </w:rPr>
              <w:t>实践创新案例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A54291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攀枝花市凤凰小学校</w:t>
            </w:r>
          </w:p>
        </w:tc>
      </w:tr>
      <w:tr w14:paraId="4D317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30BD3B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10DDC8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 xml:space="preserve">飞针传古韵，丝线绣彝风 —— </w:t>
            </w:r>
            <w:bookmarkStart w:id="6" w:name="FunCunProofread89562"/>
            <w:r>
              <w:rPr>
                <w:rFonts w:hint="default" w:ascii="Times New Roman" w:hAnsi="Times New Roman" w:eastAsia="方正仿宋简体" w:cs="Times New Roman"/>
                <w:b/>
                <w:bCs/>
                <w:i w:val="0"/>
                <w:iCs w:val="0"/>
                <w:color w:val="000000"/>
                <w:kern w:val="0"/>
                <w:sz w:val="26"/>
                <w:szCs w:val="26"/>
                <w:u w:val="none"/>
                <w:lang w:val="en-US" w:eastAsia="zh-CN" w:bidi="ar"/>
              </w:rPr>
              <w:t>俚濮</w:t>
            </w:r>
            <w:bookmarkEnd w:id="6"/>
            <w:r>
              <w:rPr>
                <w:rFonts w:hint="default" w:ascii="Times New Roman" w:hAnsi="Times New Roman" w:eastAsia="方正仿宋简体" w:cs="Times New Roman"/>
                <w:b/>
                <w:bCs/>
                <w:i w:val="0"/>
                <w:iCs w:val="0"/>
                <w:color w:val="000000"/>
                <w:kern w:val="0"/>
                <w:sz w:val="26"/>
                <w:szCs w:val="26"/>
                <w:u w:val="none"/>
                <w:lang w:val="en-US" w:eastAsia="zh-CN" w:bidi="ar"/>
              </w:rPr>
              <w:t>彝绣校园学习传承实践探索活动案例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B655BC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攀枝花市仁和区平地镇中心学校</w:t>
            </w:r>
          </w:p>
        </w:tc>
      </w:tr>
      <w:tr w14:paraId="5D3FD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35D570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2DA9AF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“校寨馆社企”一体传承羌族刺绣和剪纸民间工艺</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EFB0D4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威州民族师范学校</w:t>
            </w:r>
          </w:p>
        </w:tc>
      </w:tr>
      <w:tr w14:paraId="4E3F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333B0F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4057C7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传承传统茶技，助力乡村振兴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B9D9C3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崇州市映象生态农业开发有限公司</w:t>
            </w:r>
          </w:p>
        </w:tc>
      </w:tr>
      <w:tr w14:paraId="4F317C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CA2BBF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EF2BD3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国家</w:t>
            </w:r>
            <w:bookmarkStart w:id="7" w:name="FunCunProofread90664"/>
            <w:r>
              <w:rPr>
                <w:rFonts w:hint="default" w:ascii="Times New Roman" w:hAnsi="Times New Roman" w:eastAsia="方正仿宋简体" w:cs="Times New Roman"/>
                <w:b/>
                <w:bCs/>
                <w:i w:val="0"/>
                <w:iCs w:val="0"/>
                <w:color w:val="000000"/>
                <w:kern w:val="0"/>
                <w:sz w:val="26"/>
                <w:szCs w:val="26"/>
                <w:u w:val="none"/>
                <w:lang w:val="en-US" w:eastAsia="zh-CN" w:bidi="ar"/>
              </w:rPr>
              <w:t>非遗文化</w:t>
            </w:r>
            <w:bookmarkEnd w:id="7"/>
            <w:r>
              <w:rPr>
                <w:rFonts w:hint="default" w:ascii="Times New Roman" w:hAnsi="Times New Roman" w:eastAsia="方正仿宋简体" w:cs="Times New Roman"/>
                <w:b/>
                <w:bCs/>
                <w:i w:val="0"/>
                <w:iCs w:val="0"/>
                <w:color w:val="000000"/>
                <w:kern w:val="0"/>
                <w:sz w:val="26"/>
                <w:szCs w:val="26"/>
                <w:u w:val="none"/>
                <w:lang w:val="en-US" w:eastAsia="zh-CN" w:bidi="ar"/>
              </w:rPr>
              <w:t>与虚拟仿真实验平台融合探索——以中国非物质文化遗产巴塘弦子之“藏弦胡”演奏虚拟仿真实验课程为例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C462BB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四川民族学院</w:t>
            </w:r>
          </w:p>
        </w:tc>
      </w:tr>
      <w:tr w14:paraId="3C50B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FB8D28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76E73E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峨眉拳传承</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91F42D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犍为县罗城中心小学</w:t>
            </w:r>
          </w:p>
        </w:tc>
      </w:tr>
      <w:tr w14:paraId="47A97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7CFD8B4F">
            <w:pPr>
              <w:jc w:val="both"/>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主题六：道德与法治</w:t>
            </w:r>
            <w:bookmarkStart w:id="8" w:name="FunCunProofread91551"/>
            <w:r>
              <w:rPr>
                <w:rFonts w:hint="default" w:ascii="Times New Roman" w:hAnsi="Times New Roman" w:cs="Times New Roman"/>
                <w:b/>
                <w:bCs/>
                <w:i w:val="0"/>
                <w:iCs w:val="0"/>
                <w:color w:val="000000"/>
                <w:sz w:val="28"/>
                <w:szCs w:val="28"/>
                <w:u w:val="none"/>
                <w:lang w:val="en-US" w:eastAsia="zh-CN"/>
              </w:rPr>
              <w:t>（</w:t>
            </w:r>
            <w:bookmarkEnd w:id="8"/>
            <w:r>
              <w:rPr>
                <w:rFonts w:hint="default" w:ascii="Times New Roman" w:hAnsi="Times New Roman" w:cs="Times New Roman"/>
                <w:b/>
                <w:bCs/>
                <w:i w:val="0"/>
                <w:iCs w:val="0"/>
                <w:color w:val="000000"/>
                <w:sz w:val="28"/>
                <w:szCs w:val="28"/>
                <w:u w:val="none"/>
                <w:lang w:val="en-US" w:eastAsia="zh-CN"/>
              </w:rPr>
              <w:t>8个</w:t>
            </w:r>
            <w:bookmarkStart w:id="9" w:name="FunCunProofread91581"/>
            <w:r>
              <w:rPr>
                <w:rFonts w:hint="default" w:ascii="Times New Roman" w:hAnsi="Times New Roman" w:cs="Times New Roman"/>
                <w:b/>
                <w:bCs/>
                <w:i w:val="0"/>
                <w:iCs w:val="0"/>
                <w:color w:val="000000"/>
                <w:sz w:val="28"/>
                <w:szCs w:val="28"/>
                <w:u w:val="none"/>
                <w:lang w:val="en-US" w:eastAsia="zh-CN"/>
              </w:rPr>
              <w:t>)</w:t>
            </w:r>
            <w:bookmarkEnd w:id="9"/>
          </w:p>
        </w:tc>
        <w:tc>
          <w:tcPr>
            <w:tcW w:w="117" w:type="pct"/>
            <w:tcBorders>
              <w:top w:val="nil"/>
              <w:left w:val="nil"/>
              <w:bottom w:val="nil"/>
              <w:right w:val="nil"/>
            </w:tcBorders>
            <w:noWrap w:val="0"/>
            <w:vAlign w:val="center"/>
          </w:tcPr>
          <w:p w14:paraId="2EFAAA20">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2F199F6F">
            <w:pPr>
              <w:jc w:val="center"/>
              <w:rPr>
                <w:rFonts w:hint="default" w:ascii="Times New Roman" w:hAnsi="Times New Roman" w:eastAsia="方正仿宋简体" w:cs="Times New Roman"/>
                <w:b/>
                <w:bCs/>
                <w:i w:val="0"/>
                <w:iCs w:val="0"/>
                <w:color w:val="000000"/>
                <w:sz w:val="26"/>
                <w:szCs w:val="26"/>
                <w:u w:val="none"/>
              </w:rPr>
            </w:pPr>
          </w:p>
        </w:tc>
      </w:tr>
      <w:tr w14:paraId="72327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4E7F66B">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FD8C5D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F2710F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0A34A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5050CE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0C5025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校地联动、理实一体、点面结合</w:t>
            </w:r>
            <w:bookmarkStart w:id="10" w:name="FunCunProofread91931"/>
            <w:r>
              <w:rPr>
                <w:rFonts w:hint="default" w:ascii="Times New Roman" w:hAnsi="Times New Roman" w:eastAsia="方正仿宋简体" w:cs="Times New Roman"/>
                <w:b/>
                <w:bCs/>
                <w:i w:val="0"/>
                <w:iCs w:val="0"/>
                <w:color w:val="000000"/>
                <w:kern w:val="0"/>
                <w:sz w:val="26"/>
                <w:szCs w:val="26"/>
                <w:u w:val="none"/>
                <w:lang w:val="en-US" w:eastAsia="zh-CN" w:bidi="ar"/>
              </w:rPr>
              <w:t>”</w:t>
            </w:r>
            <w:bookmarkEnd w:id="10"/>
            <w:r>
              <w:rPr>
                <w:rFonts w:hint="default" w:ascii="Times New Roman" w:hAnsi="Times New Roman" w:eastAsia="方正仿宋简体" w:cs="Times New Roman"/>
                <w:b/>
                <w:bCs/>
                <w:i w:val="0"/>
                <w:iCs w:val="0"/>
                <w:color w:val="000000"/>
                <w:kern w:val="0"/>
                <w:sz w:val="26"/>
                <w:szCs w:val="26"/>
                <w:u w:val="none"/>
                <w:lang w:val="en-US" w:eastAsia="zh-CN" w:bidi="ar"/>
              </w:rPr>
              <w:t>的社区道德与法治教育实践</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4D554B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内江职业技术学院</w:t>
            </w:r>
          </w:p>
        </w:tc>
      </w:tr>
      <w:tr w14:paraId="610D9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223E51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0371DE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以“社职”融合构建道德与法治学习共同体的实践探索</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37D008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四川职业技术学院</w:t>
            </w:r>
          </w:p>
        </w:tc>
      </w:tr>
      <w:tr w14:paraId="08F56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90161A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F92733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 xml:space="preserve">“大思政课”视域下沉浸式社区德法共治应用研究  </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9FC794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西南石油大学</w:t>
            </w:r>
          </w:p>
        </w:tc>
      </w:tr>
      <w:tr w14:paraId="1883E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480524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97A8CC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赓续华夏文脉  厚植文化自信——创建社区中华优秀传统文化育人活动品牌</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C8E4D1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成都师范学院</w:t>
            </w:r>
          </w:p>
        </w:tc>
      </w:tr>
      <w:tr w14:paraId="19ADB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54A264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44E4D7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品国学经典,做儒雅市民,推进和美社区建设</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AAEB42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都江堰市人民政府银杏街道办事处</w:t>
            </w:r>
          </w:p>
        </w:tc>
      </w:tr>
      <w:tr w14:paraId="3D1A5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B524DD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A890C8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R社区经济法律社区教育活动与服务案例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4DC0C1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西南交通大学希望学院</w:t>
            </w:r>
          </w:p>
        </w:tc>
      </w:tr>
      <w:tr w14:paraId="34482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600CCF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166253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“三驾”并驱+数字化，领跑农村法治教育</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80259D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西南石油大学</w:t>
            </w:r>
          </w:p>
        </w:tc>
      </w:tr>
      <w:tr w14:paraId="58683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5F1A61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D1DA6D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传习中华传统美德，助力和谐社区建设</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E3A920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成都工贸职业技术学院</w:t>
            </w:r>
          </w:p>
        </w:tc>
      </w:tr>
      <w:tr w14:paraId="537BA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645B3516">
            <w:pPr>
              <w:jc w:val="center"/>
              <w:rPr>
                <w:rFonts w:hint="default" w:ascii="Times New Roman" w:hAnsi="Times New Roman" w:eastAsia="宋体" w:cs="Times New Roman"/>
                <w:b/>
                <w:bCs/>
                <w:i w:val="0"/>
                <w:iCs w:val="0"/>
                <w:color w:val="000000"/>
                <w:sz w:val="26"/>
                <w:szCs w:val="26"/>
                <w:u w:val="none"/>
              </w:rPr>
            </w:pPr>
          </w:p>
          <w:p w14:paraId="5DC90DB5">
            <w:pPr>
              <w:jc w:val="left"/>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主题七：人文艺术（12个）</w:t>
            </w:r>
          </w:p>
        </w:tc>
        <w:tc>
          <w:tcPr>
            <w:tcW w:w="117" w:type="pct"/>
            <w:tcBorders>
              <w:top w:val="nil"/>
              <w:left w:val="nil"/>
              <w:bottom w:val="nil"/>
              <w:right w:val="nil"/>
            </w:tcBorders>
            <w:noWrap w:val="0"/>
            <w:vAlign w:val="center"/>
          </w:tcPr>
          <w:p w14:paraId="75CBA6CB">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1FD06F07">
            <w:pPr>
              <w:jc w:val="center"/>
              <w:rPr>
                <w:rFonts w:hint="default" w:ascii="Times New Roman" w:hAnsi="Times New Roman" w:eastAsia="方正仿宋简体" w:cs="Times New Roman"/>
                <w:b/>
                <w:bCs/>
                <w:i w:val="0"/>
                <w:iCs w:val="0"/>
                <w:color w:val="000000"/>
                <w:sz w:val="26"/>
                <w:szCs w:val="26"/>
                <w:u w:val="none"/>
              </w:rPr>
            </w:pPr>
          </w:p>
        </w:tc>
      </w:tr>
      <w:tr w14:paraId="57E8C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BC1210F">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DB1484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1364AE5">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253A5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3133AB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DEF156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社区老年英语互动型教学</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A94AC7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锦江区教育局、四川师范大学附属中学锦华分校</w:t>
            </w:r>
          </w:p>
        </w:tc>
      </w:tr>
      <w:tr w14:paraId="51568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A77D9E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2A6C0C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弦动民心：四川民族学院AI智慧课程《乐器演奏-小提琴》在大众教育中的创新与实践探索</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B14A5D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四川民族学院</w:t>
            </w:r>
          </w:p>
        </w:tc>
      </w:tr>
      <w:tr w14:paraId="5D82E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56E3F0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BAB447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社区传统文化教育资源整合与创新服务实践</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B71805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成都工贸职业技术学院</w:t>
            </w:r>
          </w:p>
        </w:tc>
      </w:tr>
      <w:tr w14:paraId="6A693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531403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F7ED1E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校地社共建“蒲公英”素质课程  助力社区少年成长启航</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C65CE9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四川财经职业学院</w:t>
            </w:r>
          </w:p>
        </w:tc>
      </w:tr>
      <w:tr w14:paraId="68ABE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C4036E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AB7D78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竹韵社区行：能者乐教，竹艺传情</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01E347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四川城市职业学院</w:t>
            </w:r>
          </w:p>
        </w:tc>
      </w:tr>
      <w:tr w14:paraId="341AD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471A64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41B982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根植巴山沃土、助老欢度余生（合唱排练）</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0D4257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四川文理学院</w:t>
            </w:r>
          </w:p>
        </w:tc>
      </w:tr>
      <w:tr w14:paraId="2A95F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B0847B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072145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开启障碍人士的艺术之门——五彩艺术助残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D8AFE6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成华区教育局、成龙潭街道办事处五彩基金</w:t>
            </w:r>
          </w:p>
        </w:tc>
      </w:tr>
      <w:tr w14:paraId="086F9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4FF04E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1110F5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邻里相亲、以美化人，校社携手育新芽——社区儿童美育实践案例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6B20BB0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达州职业技术学院</w:t>
            </w:r>
          </w:p>
        </w:tc>
      </w:tr>
      <w:tr w14:paraId="0CA77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9DC9A3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4875B3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国乐与生活</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1230BF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四川音乐学院</w:t>
            </w:r>
          </w:p>
        </w:tc>
      </w:tr>
      <w:tr w14:paraId="2C48A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8D9484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4E99E7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四川文理学院书法教学团队服务师生和社区实践案例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A6B37F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四川文理学院</w:t>
            </w:r>
          </w:p>
        </w:tc>
      </w:tr>
      <w:tr w14:paraId="624A1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2EFC48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361BD7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学苑社区微学堂</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05B452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郫都区学苑社区居民委员会</w:t>
            </w:r>
          </w:p>
        </w:tc>
      </w:tr>
      <w:tr w14:paraId="344D2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664FE7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DE631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西南财经大学天府学院老年大学合唱课老师谢卓助力院山社区合唱团</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69A921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西南财经大学天府学院</w:t>
            </w:r>
          </w:p>
        </w:tc>
      </w:tr>
      <w:tr w14:paraId="375BD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19B69286">
            <w:pPr>
              <w:jc w:val="left"/>
              <w:rPr>
                <w:rFonts w:hint="default" w:ascii="Times New Roman" w:hAnsi="Times New Roman" w:eastAsia="宋体" w:cs="Times New Roman"/>
                <w:b/>
                <w:bCs/>
                <w:i w:val="0"/>
                <w:iCs w:val="0"/>
                <w:color w:val="000000"/>
                <w:sz w:val="26"/>
                <w:szCs w:val="26"/>
                <w:u w:val="none"/>
              </w:rPr>
            </w:pPr>
          </w:p>
          <w:p w14:paraId="72BCE042">
            <w:pPr>
              <w:jc w:val="left"/>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主题八：康养健身（11个）</w:t>
            </w:r>
          </w:p>
        </w:tc>
        <w:tc>
          <w:tcPr>
            <w:tcW w:w="117" w:type="pct"/>
            <w:tcBorders>
              <w:top w:val="nil"/>
              <w:left w:val="nil"/>
              <w:bottom w:val="nil"/>
              <w:right w:val="nil"/>
            </w:tcBorders>
            <w:noWrap w:val="0"/>
            <w:vAlign w:val="center"/>
          </w:tcPr>
          <w:p w14:paraId="22AB697A">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2B7FE3A8">
            <w:pPr>
              <w:jc w:val="center"/>
              <w:rPr>
                <w:rFonts w:hint="default" w:ascii="Times New Roman" w:hAnsi="Times New Roman" w:eastAsia="方正仿宋简体" w:cs="Times New Roman"/>
                <w:b/>
                <w:bCs/>
                <w:i w:val="0"/>
                <w:iCs w:val="0"/>
                <w:color w:val="000000"/>
                <w:sz w:val="26"/>
                <w:szCs w:val="26"/>
                <w:u w:val="none"/>
              </w:rPr>
            </w:pPr>
          </w:p>
        </w:tc>
      </w:tr>
      <w:tr w14:paraId="50BF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1A83EAC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42333D7">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E03B2B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105AB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ECE215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9FF353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康养健身，乐享银龄</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104C0C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四川长江职业学院</w:t>
            </w:r>
          </w:p>
        </w:tc>
      </w:tr>
      <w:tr w14:paraId="33196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5F1927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D17A31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社区古法康健悦邻里</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78ED69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四川华新现代职业学院</w:t>
            </w:r>
          </w:p>
        </w:tc>
      </w:tr>
      <w:tr w14:paraId="446CC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FDF15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74C090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大桔大利——老年撕纸贴画康复活动指导</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0B0075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四川幼儿师范高等专科学校</w:t>
            </w:r>
          </w:p>
        </w:tc>
      </w:tr>
      <w:tr w14:paraId="07426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ECBC3F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ADAADB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快乐瑜伽</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53E045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宜宾市南溪区城市居民学习中心</w:t>
            </w:r>
          </w:p>
        </w:tc>
      </w:tr>
      <w:tr w14:paraId="53B1E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616D3A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B8BF1D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学以致用、能者为师，让青春在人民</w:t>
            </w:r>
            <w:r>
              <w:rPr>
                <w:rFonts w:hint="default" w:ascii="Times New Roman" w:hAnsi="Times New Roman" w:eastAsia="方正仿宋简体" w:cs="Times New Roman"/>
                <w:b/>
                <w:bCs/>
                <w:i w:val="0"/>
                <w:iCs w:val="0"/>
                <w:color w:val="000000"/>
                <w:kern w:val="0"/>
                <w:sz w:val="26"/>
                <w:szCs w:val="26"/>
                <w:u w:val="none"/>
                <w:lang w:val="en-US" w:eastAsia="zh-CN" w:bidi="ar"/>
              </w:rPr>
              <w:br w:type="textWrapping"/>
            </w:r>
            <w:r>
              <w:rPr>
                <w:rFonts w:hint="default" w:ascii="Times New Roman" w:hAnsi="Times New Roman" w:eastAsia="方正仿宋简体" w:cs="Times New Roman"/>
                <w:b/>
                <w:bCs/>
                <w:i w:val="0"/>
                <w:iCs w:val="0"/>
                <w:color w:val="000000"/>
                <w:kern w:val="0"/>
                <w:sz w:val="26"/>
                <w:szCs w:val="26"/>
                <w:u w:val="none"/>
                <w:lang w:val="en-US" w:eastAsia="zh-CN" w:bidi="ar"/>
              </w:rPr>
              <w:t>最需要的地方绽放</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A42C1A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眉山药科职业学院</w:t>
            </w:r>
          </w:p>
        </w:tc>
      </w:tr>
      <w:tr w14:paraId="45B5A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F86B3F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647A9AD">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《膳食营养与健康》教育进社区</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29BD38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绵阳市安州区高级职业中学</w:t>
            </w:r>
          </w:p>
        </w:tc>
      </w:tr>
      <w:tr w14:paraId="03504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124CE4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3C5BEB3">
            <w:pPr>
              <w:keepNext w:val="0"/>
              <w:keepLines w:val="0"/>
              <w:widowControl/>
              <w:suppressLineNumbers w:val="0"/>
              <w:jc w:val="left"/>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助力健康中国,守护全民健康—《内科护理》课程与社区教育结合典型案例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B9F0BD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内江卫生与健康职业学院</w:t>
            </w:r>
          </w:p>
        </w:tc>
      </w:tr>
      <w:tr w14:paraId="5F097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F6897F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2A313AA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中医食疗药膳在社区教育中的创新路径与实践</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6704CC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四川护理职业学院</w:t>
            </w:r>
          </w:p>
        </w:tc>
      </w:tr>
      <w:tr w14:paraId="204DB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C22DB9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7E6FE1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“社区健康教育大讲堂”典型案例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A07802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达州职业技术学院</w:t>
            </w:r>
          </w:p>
        </w:tc>
      </w:tr>
      <w:tr w14:paraId="47907E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72E696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8C7D5B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做</w:t>
            </w:r>
            <w:r>
              <w:rPr>
                <w:rFonts w:hint="default" w:ascii="Times New Roman" w:hAnsi="Times New Roman" w:eastAsia="方正仿宋简体" w:cs="Times New Roman"/>
                <w:b/>
                <w:bCs/>
                <w:i w:val="0"/>
                <w:iCs w:val="0"/>
                <w:color w:val="000000"/>
                <w:kern w:val="0"/>
                <w:sz w:val="26"/>
                <w:szCs w:val="26"/>
                <w:u w:val="none" w:color="FFFFFF"/>
                <w:lang w:val="en-US" w:eastAsia="zh-CN" w:bidi="ar"/>
              </w:rPr>
              <w:t>“</w:t>
            </w:r>
            <w:r>
              <w:rPr>
                <w:rFonts w:hint="default" w:ascii="Times New Roman" w:hAnsi="Times New Roman" w:eastAsia="方正仿宋简体" w:cs="Times New Roman"/>
                <w:b/>
                <w:bCs/>
                <w:i w:val="0"/>
                <w:iCs w:val="0"/>
                <w:color w:val="000000"/>
                <w:kern w:val="0"/>
                <w:sz w:val="26"/>
                <w:szCs w:val="26"/>
                <w:u w:val="none"/>
                <w:lang w:val="en-US" w:eastAsia="zh-CN" w:bidi="ar"/>
              </w:rPr>
              <w:t>正直</w:t>
            </w:r>
            <w:bookmarkStart w:id="11" w:name="FunCunProofread102501"/>
            <w:r>
              <w:rPr>
                <w:rFonts w:hint="default" w:ascii="Times New Roman" w:hAnsi="Times New Roman" w:eastAsia="方正仿宋简体" w:cs="Times New Roman"/>
                <w:b/>
                <w:bCs/>
                <w:i w:val="0"/>
                <w:iCs w:val="0"/>
                <w:color w:val="000000"/>
                <w:kern w:val="0"/>
                <w:sz w:val="26"/>
                <w:szCs w:val="26"/>
                <w:u w:val="none" w:color="FFFFFF"/>
                <w:lang w:val="en-US" w:eastAsia="zh-CN" w:bidi="ar"/>
              </w:rPr>
              <w:t>”</w:t>
            </w:r>
            <w:bookmarkEnd w:id="11"/>
            <w:r>
              <w:rPr>
                <w:rFonts w:hint="default" w:ascii="Times New Roman" w:hAnsi="Times New Roman" w:eastAsia="方正仿宋简体" w:cs="Times New Roman"/>
                <w:b/>
                <w:bCs/>
                <w:i w:val="0"/>
                <w:iCs w:val="0"/>
                <w:color w:val="000000"/>
                <w:kern w:val="0"/>
                <w:sz w:val="26"/>
                <w:szCs w:val="26"/>
                <w:u w:val="none"/>
                <w:lang w:val="en-US" w:eastAsia="zh-CN" w:bidi="ar"/>
              </w:rPr>
              <w:t>少年——大凉山青少年体态健康知识的宣传与普及</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220438C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西昌学院</w:t>
            </w:r>
          </w:p>
        </w:tc>
      </w:tr>
      <w:tr w14:paraId="5BE16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9130AD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271B3D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“智慧康养赋能，呵护银龄健康”典型案例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1724AD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内江职业技术学院</w:t>
            </w:r>
          </w:p>
        </w:tc>
      </w:tr>
      <w:tr w14:paraId="77182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3507" w:type="pct"/>
            <w:gridSpan w:val="2"/>
            <w:tcBorders>
              <w:top w:val="nil"/>
              <w:left w:val="nil"/>
              <w:bottom w:val="nil"/>
              <w:right w:val="nil"/>
            </w:tcBorders>
            <w:noWrap/>
            <w:vAlign w:val="center"/>
          </w:tcPr>
          <w:p w14:paraId="7E82E768">
            <w:pPr>
              <w:jc w:val="left"/>
              <w:rPr>
                <w:rFonts w:hint="default" w:ascii="Times New Roman" w:hAnsi="Times New Roman" w:eastAsia="宋体" w:cs="Times New Roman"/>
                <w:b/>
                <w:bCs/>
                <w:i w:val="0"/>
                <w:iCs w:val="0"/>
                <w:color w:val="000000"/>
                <w:sz w:val="26"/>
                <w:szCs w:val="26"/>
                <w:u w:val="none"/>
                <w:lang w:val="en-US" w:eastAsia="zh-CN"/>
              </w:rPr>
            </w:pPr>
            <w:r>
              <w:rPr>
                <w:rFonts w:hint="default" w:ascii="Times New Roman" w:hAnsi="Times New Roman" w:cs="Times New Roman"/>
                <w:b/>
                <w:bCs/>
                <w:i w:val="0"/>
                <w:iCs w:val="0"/>
                <w:color w:val="000000"/>
                <w:sz w:val="28"/>
                <w:szCs w:val="28"/>
                <w:u w:val="none"/>
                <w:lang w:val="en-US" w:eastAsia="zh-CN"/>
              </w:rPr>
              <w:t>主题九：社区治理与应急管理（10个）</w:t>
            </w:r>
          </w:p>
        </w:tc>
        <w:tc>
          <w:tcPr>
            <w:tcW w:w="117" w:type="pct"/>
            <w:tcBorders>
              <w:top w:val="nil"/>
              <w:left w:val="nil"/>
              <w:bottom w:val="nil"/>
              <w:right w:val="nil"/>
            </w:tcBorders>
            <w:noWrap w:val="0"/>
            <w:vAlign w:val="center"/>
          </w:tcPr>
          <w:p w14:paraId="760EA18A">
            <w:pPr>
              <w:jc w:val="center"/>
              <w:rPr>
                <w:rFonts w:hint="default" w:ascii="Times New Roman" w:hAnsi="Times New Roman" w:eastAsia="方正仿宋简体" w:cs="Times New Roman"/>
                <w:b/>
                <w:bCs/>
                <w:i w:val="0"/>
                <w:iCs w:val="0"/>
                <w:color w:val="000000"/>
                <w:sz w:val="26"/>
                <w:szCs w:val="26"/>
                <w:u w:val="none"/>
              </w:rPr>
            </w:pPr>
          </w:p>
        </w:tc>
        <w:tc>
          <w:tcPr>
            <w:tcW w:w="1374" w:type="pct"/>
            <w:tcBorders>
              <w:top w:val="nil"/>
              <w:left w:val="nil"/>
              <w:bottom w:val="nil"/>
              <w:right w:val="nil"/>
            </w:tcBorders>
            <w:noWrap w:val="0"/>
            <w:vAlign w:val="center"/>
          </w:tcPr>
          <w:p w14:paraId="49F9F021">
            <w:pPr>
              <w:jc w:val="center"/>
              <w:rPr>
                <w:rFonts w:hint="default" w:ascii="Times New Roman" w:hAnsi="Times New Roman" w:eastAsia="方正仿宋简体" w:cs="Times New Roman"/>
                <w:b/>
                <w:bCs/>
                <w:i w:val="0"/>
                <w:iCs w:val="0"/>
                <w:color w:val="000000"/>
                <w:sz w:val="26"/>
                <w:szCs w:val="26"/>
                <w:u w:val="none"/>
              </w:rPr>
            </w:pPr>
          </w:p>
        </w:tc>
      </w:tr>
      <w:tr w14:paraId="319D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5807493">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排名</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966574E">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案例名称</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3BD9FF69">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8"/>
                <w:szCs w:val="28"/>
                <w:u w:val="none"/>
              </w:rPr>
            </w:pPr>
            <w:r>
              <w:rPr>
                <w:rFonts w:hint="default" w:ascii="Times New Roman" w:hAnsi="Times New Roman" w:eastAsia="宋体" w:cs="Times New Roman"/>
                <w:b/>
                <w:bCs/>
                <w:i w:val="0"/>
                <w:iCs w:val="0"/>
                <w:color w:val="000000"/>
                <w:kern w:val="0"/>
                <w:sz w:val="28"/>
                <w:szCs w:val="28"/>
                <w:u w:val="none"/>
                <w:lang w:val="en-US" w:eastAsia="zh-CN" w:bidi="ar"/>
              </w:rPr>
              <w:t>申报单位</w:t>
            </w:r>
          </w:p>
        </w:tc>
      </w:tr>
      <w:tr w14:paraId="2C0A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5FDEDD2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317E09CA">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以能者为师为肇始构建社区教育共享师资库</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21EA05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武侯区社区学院</w:t>
            </w:r>
          </w:p>
        </w:tc>
      </w:tr>
      <w:tr w14:paraId="5D1C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34CDC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2</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156431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共筑生命“守护网”，急救科普我先行</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99B47A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雅安职业技术学院</w:t>
            </w:r>
          </w:p>
        </w:tc>
      </w:tr>
      <w:tr w14:paraId="07EAF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4C82628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3</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1559529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“禁毒星火燎原川渝”典型案例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07495A1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四川警察学院</w:t>
            </w:r>
          </w:p>
        </w:tc>
      </w:tr>
      <w:tr w14:paraId="2AD0D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3683B1B">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4</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78D57D2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科技专业赋能，守护社区安全</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D68AB1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四川师范大学</w:t>
            </w:r>
          </w:p>
        </w:tc>
      </w:tr>
      <w:tr w14:paraId="34E25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0106A8D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5</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0BB01B6C">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公益财商教育，赋能儿童未来</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42A3FD18">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成都理工大学</w:t>
            </w:r>
          </w:p>
        </w:tc>
      </w:tr>
      <w:tr w14:paraId="19000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11A2DA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6</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5DE657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发挥高职院校资源优势 拓展应急消防社会服务职能</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BDBDD69">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德阳科贸职业学院</w:t>
            </w:r>
          </w:p>
        </w:tc>
      </w:tr>
      <w:tr w14:paraId="3A00F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7887D5C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7</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43CFCC52">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全民</w:t>
            </w:r>
            <w:r>
              <w:rPr>
                <w:rFonts w:hint="default" w:ascii="Times New Roman" w:hAnsi="Times New Roman" w:eastAsia="方正仿宋简体" w:cs="Times New Roman"/>
                <w:b/>
                <w:bCs/>
                <w:i w:val="0"/>
                <w:iCs w:val="0"/>
                <w:color w:val="000000"/>
                <w:kern w:val="0"/>
                <w:sz w:val="26"/>
                <w:szCs w:val="26"/>
                <w:u w:val="none" w:color="FFFFFF"/>
                <w:lang w:val="en-US" w:eastAsia="zh-CN" w:bidi="ar"/>
              </w:rPr>
              <w:t>“</w:t>
            </w:r>
            <w:r>
              <w:rPr>
                <w:rFonts w:hint="default" w:ascii="Times New Roman" w:hAnsi="Times New Roman" w:eastAsia="方正仿宋简体" w:cs="Times New Roman"/>
                <w:b/>
                <w:bCs/>
                <w:i w:val="0"/>
                <w:iCs w:val="0"/>
                <w:color w:val="000000"/>
                <w:kern w:val="0"/>
                <w:sz w:val="26"/>
                <w:szCs w:val="26"/>
                <w:u w:val="none"/>
                <w:lang w:val="en-US" w:eastAsia="zh-CN" w:bidi="ar"/>
              </w:rPr>
              <w:t>急</w:t>
            </w:r>
            <w:r>
              <w:rPr>
                <w:rFonts w:hint="default" w:ascii="Times New Roman" w:hAnsi="Times New Roman" w:eastAsia="方正仿宋简体" w:cs="Times New Roman"/>
                <w:b/>
                <w:bCs/>
                <w:i w:val="0"/>
                <w:iCs w:val="0"/>
                <w:color w:val="000000"/>
                <w:kern w:val="0"/>
                <w:sz w:val="26"/>
                <w:szCs w:val="26"/>
                <w:u w:val="none" w:color="FFFFFF"/>
                <w:lang w:val="en-US" w:eastAsia="zh-CN" w:bidi="ar"/>
              </w:rPr>
              <w:t>”</w:t>
            </w:r>
            <w:r>
              <w:rPr>
                <w:rFonts w:hint="default" w:ascii="Times New Roman" w:hAnsi="Times New Roman" w:eastAsia="方正仿宋简体" w:cs="Times New Roman"/>
                <w:b/>
                <w:bCs/>
                <w:i w:val="0"/>
                <w:iCs w:val="0"/>
                <w:color w:val="000000"/>
                <w:kern w:val="0"/>
                <w:sz w:val="26"/>
                <w:szCs w:val="26"/>
                <w:u w:val="none"/>
                <w:lang w:val="en-US" w:eastAsia="zh-CN" w:bidi="ar"/>
              </w:rPr>
              <w:t>救</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39950B7">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德阳科贸职业学院</w:t>
            </w:r>
          </w:p>
        </w:tc>
      </w:tr>
      <w:tr w14:paraId="6F74E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2671246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8</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8036DC6">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校地携手 推动社区治理与高校育人“双向奔赴”</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708ED1F0">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四川城市职业学院</w:t>
            </w:r>
          </w:p>
        </w:tc>
      </w:tr>
      <w:tr w14:paraId="7C241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5"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3131FE41">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9</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5922C0A3">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构建学生参事机构促家校社协同育人</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1392D6AE">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锦江区社区教育学院、成都师范附属小学</w:t>
            </w:r>
          </w:p>
        </w:tc>
      </w:tr>
      <w:tr w14:paraId="6DEAB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414" w:type="pct"/>
            <w:tcBorders>
              <w:top w:val="single" w:color="000000" w:sz="4" w:space="0"/>
              <w:left w:val="single" w:color="000000" w:sz="4" w:space="0"/>
              <w:bottom w:val="single" w:color="000000" w:sz="4" w:space="0"/>
              <w:right w:val="single" w:color="000000" w:sz="4" w:space="0"/>
            </w:tcBorders>
            <w:noWrap/>
            <w:vAlign w:val="center"/>
          </w:tcPr>
          <w:p w14:paraId="698027C4">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10</w:t>
            </w:r>
          </w:p>
        </w:tc>
        <w:tc>
          <w:tcPr>
            <w:tcW w:w="3211" w:type="pct"/>
            <w:gridSpan w:val="2"/>
            <w:tcBorders>
              <w:top w:val="single" w:color="000000" w:sz="4" w:space="0"/>
              <w:left w:val="single" w:color="000000" w:sz="4" w:space="0"/>
              <w:bottom w:val="single" w:color="000000" w:sz="4" w:space="0"/>
              <w:right w:val="single" w:color="000000" w:sz="4" w:space="0"/>
            </w:tcBorders>
            <w:noWrap w:val="0"/>
            <w:vAlign w:val="center"/>
          </w:tcPr>
          <w:p w14:paraId="6F0D7195">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携手“七进”消防宣传教育</w:t>
            </w:r>
            <w:bookmarkStart w:id="12" w:name="FunCunProofread106271"/>
            <w:r>
              <w:rPr>
                <w:rFonts w:hint="default" w:ascii="Times New Roman" w:hAnsi="Times New Roman" w:eastAsia="方正仿宋简体" w:cs="Times New Roman"/>
                <w:b/>
                <w:bCs/>
                <w:i w:val="0"/>
                <w:iCs w:val="0"/>
                <w:color w:val="000000"/>
                <w:kern w:val="0"/>
                <w:sz w:val="26"/>
                <w:szCs w:val="26"/>
                <w:u w:val="none"/>
                <w:lang w:val="en-US" w:eastAsia="zh-CN" w:bidi="ar"/>
              </w:rPr>
              <w:t>铸</w:t>
            </w:r>
            <w:bookmarkEnd w:id="12"/>
            <w:r>
              <w:rPr>
                <w:rFonts w:hint="default" w:ascii="Times New Roman" w:hAnsi="Times New Roman" w:eastAsia="方正仿宋简体" w:cs="Times New Roman"/>
                <w:b/>
                <w:bCs/>
                <w:i w:val="0"/>
                <w:iCs w:val="0"/>
                <w:color w:val="000000"/>
                <w:kern w:val="0"/>
                <w:sz w:val="26"/>
                <w:szCs w:val="26"/>
                <w:u w:val="none"/>
                <w:lang w:val="en-US" w:eastAsia="zh-CN" w:bidi="ar"/>
              </w:rPr>
              <w:t>“能者为师”典型案例</w:t>
            </w:r>
          </w:p>
        </w:tc>
        <w:tc>
          <w:tcPr>
            <w:tcW w:w="1374" w:type="pct"/>
            <w:tcBorders>
              <w:top w:val="single" w:color="000000" w:sz="4" w:space="0"/>
              <w:left w:val="single" w:color="000000" w:sz="4" w:space="0"/>
              <w:bottom w:val="single" w:color="000000" w:sz="4" w:space="0"/>
              <w:right w:val="single" w:color="000000" w:sz="4" w:space="0"/>
            </w:tcBorders>
            <w:noWrap w:val="0"/>
            <w:vAlign w:val="center"/>
          </w:tcPr>
          <w:p w14:paraId="52B7C21F">
            <w:pPr>
              <w:keepNext w:val="0"/>
              <w:keepLines w:val="0"/>
              <w:widowControl/>
              <w:suppressLineNumbers w:val="0"/>
              <w:jc w:val="center"/>
              <w:textAlignment w:val="center"/>
              <w:rPr>
                <w:rFonts w:hint="default" w:ascii="Times New Roman" w:hAnsi="Times New Roman" w:eastAsia="方正仿宋简体" w:cs="Times New Roman"/>
                <w:b/>
                <w:bCs/>
                <w:i w:val="0"/>
                <w:iCs w:val="0"/>
                <w:color w:val="000000"/>
                <w:sz w:val="26"/>
                <w:szCs w:val="26"/>
                <w:u w:val="none"/>
              </w:rPr>
            </w:pPr>
            <w:r>
              <w:rPr>
                <w:rFonts w:hint="default" w:ascii="Times New Roman" w:hAnsi="Times New Roman" w:eastAsia="方正仿宋简体" w:cs="Times New Roman"/>
                <w:b/>
                <w:bCs/>
                <w:i w:val="0"/>
                <w:iCs w:val="0"/>
                <w:color w:val="000000"/>
                <w:kern w:val="0"/>
                <w:sz w:val="26"/>
                <w:szCs w:val="26"/>
                <w:u w:val="none"/>
                <w:lang w:val="en-US" w:eastAsia="zh-CN" w:bidi="ar"/>
              </w:rPr>
              <w:t>南充科技职业学院</w:t>
            </w:r>
          </w:p>
        </w:tc>
      </w:tr>
    </w:tbl>
    <w:p w14:paraId="2B9B3D64">
      <w:pPr>
        <w:rPr>
          <w:rFonts w:hint="default" w:ascii="Times New Roman" w:hAnsi="Times New Roman" w:cs="Times New Roman"/>
        </w:rPr>
      </w:pPr>
    </w:p>
    <w:p w14:paraId="570527EA">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eastAsia="方正仿宋_GBK" w:cs="Times New Roman"/>
          <w:b w:val="0"/>
          <w:bCs w:val="0"/>
          <w:sz w:val="32"/>
          <w:szCs w:val="32"/>
          <w:lang w:val="en-US" w:eastAsia="zh-CN"/>
        </w:rPr>
      </w:pPr>
    </w:p>
    <w:sectPr>
      <w:pgSz w:w="11906" w:h="16838"/>
      <w:pgMar w:top="2098" w:right="1474" w:bottom="1984" w:left="1588"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简体">
    <w:altName w:val="微软雅黑"/>
    <w:panose1 w:val="02010601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Y0MzlhZGU4MDM2ZTE0NGIyY2E3OWIwYWNlN2MzNGIifQ=="/>
  </w:docVars>
  <w:rsids>
    <w:rsidRoot w:val="46F63EC4"/>
    <w:rsid w:val="003737E8"/>
    <w:rsid w:val="00FF5FF3"/>
    <w:rsid w:val="04371EFB"/>
    <w:rsid w:val="049F51EA"/>
    <w:rsid w:val="06BC7691"/>
    <w:rsid w:val="06D82C35"/>
    <w:rsid w:val="07BE5C53"/>
    <w:rsid w:val="08180A58"/>
    <w:rsid w:val="088209C9"/>
    <w:rsid w:val="0B1877DF"/>
    <w:rsid w:val="0BCD6AE0"/>
    <w:rsid w:val="0CD966A1"/>
    <w:rsid w:val="0F1A028E"/>
    <w:rsid w:val="105A5869"/>
    <w:rsid w:val="118967E6"/>
    <w:rsid w:val="12D664CE"/>
    <w:rsid w:val="13645F7C"/>
    <w:rsid w:val="14B20F69"/>
    <w:rsid w:val="16973DE4"/>
    <w:rsid w:val="16F21AF1"/>
    <w:rsid w:val="176B2937"/>
    <w:rsid w:val="185875B0"/>
    <w:rsid w:val="1A5A7744"/>
    <w:rsid w:val="1C2936B4"/>
    <w:rsid w:val="1D0B0BAF"/>
    <w:rsid w:val="1D3E218A"/>
    <w:rsid w:val="1FD93002"/>
    <w:rsid w:val="219B4D61"/>
    <w:rsid w:val="24526591"/>
    <w:rsid w:val="251E5645"/>
    <w:rsid w:val="25D75396"/>
    <w:rsid w:val="269E74BF"/>
    <w:rsid w:val="29BB3FC4"/>
    <w:rsid w:val="2ADA61CA"/>
    <w:rsid w:val="2E0D77F3"/>
    <w:rsid w:val="2F6B545A"/>
    <w:rsid w:val="2FBF5BFF"/>
    <w:rsid w:val="302A5A00"/>
    <w:rsid w:val="30E24487"/>
    <w:rsid w:val="351A6043"/>
    <w:rsid w:val="35EF5040"/>
    <w:rsid w:val="36A302BA"/>
    <w:rsid w:val="38B706D0"/>
    <w:rsid w:val="3AB605BC"/>
    <w:rsid w:val="3AE85EDE"/>
    <w:rsid w:val="3BAA45F3"/>
    <w:rsid w:val="3CEA6C43"/>
    <w:rsid w:val="40582C6B"/>
    <w:rsid w:val="466F579B"/>
    <w:rsid w:val="46841EB6"/>
    <w:rsid w:val="4698326B"/>
    <w:rsid w:val="46F63EC4"/>
    <w:rsid w:val="48F00084"/>
    <w:rsid w:val="49331BA1"/>
    <w:rsid w:val="4C2A705C"/>
    <w:rsid w:val="4D7C38E7"/>
    <w:rsid w:val="4FCF9B82"/>
    <w:rsid w:val="50ED1318"/>
    <w:rsid w:val="51021035"/>
    <w:rsid w:val="55207DCA"/>
    <w:rsid w:val="55AE3448"/>
    <w:rsid w:val="563F3703"/>
    <w:rsid w:val="5A7A6F12"/>
    <w:rsid w:val="5AD22D98"/>
    <w:rsid w:val="5D382B99"/>
    <w:rsid w:val="5EEE84D6"/>
    <w:rsid w:val="5F685A79"/>
    <w:rsid w:val="5FC7979F"/>
    <w:rsid w:val="60811186"/>
    <w:rsid w:val="6107252A"/>
    <w:rsid w:val="62726C0F"/>
    <w:rsid w:val="6792321C"/>
    <w:rsid w:val="6A5F5C30"/>
    <w:rsid w:val="6D8A12B0"/>
    <w:rsid w:val="6E96075B"/>
    <w:rsid w:val="6F5136E1"/>
    <w:rsid w:val="6FD40F09"/>
    <w:rsid w:val="6FEF6D25"/>
    <w:rsid w:val="719E4DE8"/>
    <w:rsid w:val="72410CCD"/>
    <w:rsid w:val="7275252F"/>
    <w:rsid w:val="72A5093A"/>
    <w:rsid w:val="72EE22E1"/>
    <w:rsid w:val="7479207F"/>
    <w:rsid w:val="76EEE9CA"/>
    <w:rsid w:val="7859123D"/>
    <w:rsid w:val="7C572CA5"/>
    <w:rsid w:val="7D284642"/>
    <w:rsid w:val="7D4F72D8"/>
    <w:rsid w:val="7D943A85"/>
    <w:rsid w:val="7E383799"/>
    <w:rsid w:val="7E525E1A"/>
    <w:rsid w:val="7E6D0ED1"/>
    <w:rsid w:val="7E76FE12"/>
    <w:rsid w:val="7F800765"/>
    <w:rsid w:val="7FF5F240"/>
    <w:rsid w:val="B5FEE6E9"/>
    <w:rsid w:val="BFAE4911"/>
    <w:rsid w:val="DC97B03D"/>
    <w:rsid w:val="DFFF0B18"/>
    <w:rsid w:val="EF9C0858"/>
    <w:rsid w:val="F8FD7F81"/>
    <w:rsid w:val="FC7FBF40"/>
    <w:rsid w:val="FFB66900"/>
    <w:rsid w:val="FFFF82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character" w:customStyle="1" w:styleId="4">
    <w:name w:val="font61"/>
    <w:basedOn w:val="3"/>
    <w:qFormat/>
    <w:uiPriority w:val="0"/>
    <w:rPr>
      <w:rFonts w:hint="eastAsia" w:ascii="方正仿宋简体" w:hAnsi="方正仿宋简体" w:eastAsia="方正仿宋简体" w:cs="方正仿宋简体"/>
      <w:b/>
      <w:bCs/>
      <w:color w:val="000000"/>
      <w:sz w:val="26"/>
      <w:szCs w:val="26"/>
      <w:u w:val="none"/>
    </w:rPr>
  </w:style>
  <w:style w:type="character" w:customStyle="1" w:styleId="5">
    <w:name w:val="font81"/>
    <w:basedOn w:val="3"/>
    <w:qFormat/>
    <w:uiPriority w:val="0"/>
    <w:rPr>
      <w:rFonts w:hint="eastAsia" w:ascii="宋体" w:hAnsi="宋体" w:eastAsia="宋体" w:cs="宋体"/>
      <w:b/>
      <w:bCs/>
      <w:color w:val="000000"/>
      <w:sz w:val="26"/>
      <w:szCs w:val="26"/>
      <w:u w:val="none"/>
    </w:rPr>
  </w:style>
  <w:style w:type="character" w:customStyle="1" w:styleId="6">
    <w:name w:val="font51"/>
    <w:basedOn w:val="3"/>
    <w:qFormat/>
    <w:uiPriority w:val="0"/>
    <w:rPr>
      <w:rFonts w:hint="eastAsia" w:ascii="方正仿宋简体" w:hAnsi="方正仿宋简体" w:eastAsia="方正仿宋简体" w:cs="方正仿宋简体"/>
      <w:b/>
      <w:bCs/>
      <w:color w:val="000000"/>
      <w:sz w:val="26"/>
      <w:szCs w:val="2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3767</Words>
  <Characters>3854</Characters>
  <Lines>0</Lines>
  <Paragraphs>0</Paragraphs>
  <TotalTime>44.6666666666667</TotalTime>
  <ScaleCrop>false</ScaleCrop>
  <LinksUpToDate>false</LinksUpToDate>
  <CharactersWithSpaces>3883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2024-08-22T04:37:00Z</dcterms:created>
  <dc:creator>周晨</dc:creator>
  <cp:lastModifiedBy>Colamilkshake</cp:lastModifiedBy>
  <cp:lastPrinted>2024-08-29T01:27:00Z</cp:lastPrinted>
  <dcterms:modified xsi:type="dcterms:W3CDTF">2024-11-19T06:21:15Z</dcterms:modified>
  <dc:title>关于2024年四川省“能者为师”特色课程及典型案例拟推介名单的公示</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7E45288225BD474397A22B3C904CA36A_13</vt:lpwstr>
  </property>
</Properties>
</file>