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策</w:t>
      </w:r>
      <w:r>
        <w:rPr>
          <w:rFonts w:ascii="方正小标宋_GBK" w:eastAsia="方正小标宋_GBK"/>
          <w:sz w:val="44"/>
          <w:szCs w:val="32"/>
        </w:rPr>
        <w:t>划</w:t>
      </w:r>
      <w:r>
        <w:rPr>
          <w:rFonts w:hint="eastAsia" w:ascii="方正小标宋_GBK" w:eastAsia="方正小标宋_GBK"/>
          <w:sz w:val="44"/>
          <w:szCs w:val="32"/>
        </w:rPr>
        <w:t>方案模板</w:t>
      </w:r>
      <w:bookmarkEnd w:id="0"/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（供参考）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一、项目理解与目标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简述对“悦动2小时”活动的理解，明确通过短视频展示学校体育创新实践、推广政策经验的目标。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二、策划思路与内容设计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板块设置：设置</w:t>
      </w:r>
      <w:r>
        <w:rPr>
          <w:rFonts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“破局有道”“创意无限”“童言悦动”等栏目，聚焦时间保障、空间拓展、课程创新等痛点。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案例采集：规划实地走访学校名单，制定拍摄脚本模板，突出真实性、启发性。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三、执行计划与团队配置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时间节点：分阶段完成案例采集、视频制作、推广发布及总结展播。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团队分工：明确编导、摄像、编辑等人员职责，提供团队资质证明。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四、推广策略与数据监测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平台矩阵：依托多</w:t>
      </w:r>
      <w:r>
        <w:rPr>
          <w:rFonts w:ascii="仿宋_GB2312" w:eastAsia="仿宋_GB2312"/>
          <w:sz w:val="32"/>
          <w:szCs w:val="32"/>
        </w:rPr>
        <w:t>平台</w:t>
      </w:r>
      <w:r>
        <w:rPr>
          <w:rFonts w:hint="eastAsia" w:ascii="仿宋_GB2312" w:eastAsia="仿宋_GB2312"/>
          <w:sz w:val="32"/>
          <w:szCs w:val="32"/>
        </w:rPr>
        <w:t>首发，联动省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市、县教育系统及共</w:t>
      </w:r>
      <w:r>
        <w:rPr>
          <w:rFonts w:ascii="仿宋_GB2312" w:eastAsia="仿宋_GB2312"/>
          <w:sz w:val="32"/>
          <w:szCs w:val="32"/>
        </w:rPr>
        <w:t>青</w:t>
      </w:r>
      <w:r>
        <w:rPr>
          <w:rFonts w:hint="eastAsia" w:ascii="仿宋_GB2312" w:eastAsia="仿宋_GB2312"/>
          <w:sz w:val="32"/>
          <w:szCs w:val="32"/>
        </w:rPr>
        <w:t>团等新媒体、传统</w:t>
      </w:r>
      <w:r>
        <w:rPr>
          <w:rFonts w:ascii="仿宋_GB2312" w:eastAsia="仿宋_GB2312"/>
          <w:sz w:val="32"/>
          <w:szCs w:val="32"/>
        </w:rPr>
        <w:t>媒体形成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ascii="仿宋_GB2312" w:eastAsia="仿宋_GB2312"/>
          <w:sz w:val="32"/>
          <w:szCs w:val="32"/>
        </w:rPr>
        <w:t>矩阵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传播节奏：结合教学节点不定期发布，每周至</w:t>
      </w:r>
      <w:r>
        <w:rPr>
          <w:rFonts w:ascii="仿宋_GB2312" w:eastAsia="仿宋_GB2312"/>
          <w:sz w:val="32"/>
          <w:szCs w:val="32"/>
        </w:rPr>
        <w:t>少</w:t>
      </w:r>
      <w:r>
        <w:rPr>
          <w:rFonts w:hint="eastAsia" w:ascii="仿宋_GB2312" w:eastAsia="仿宋_GB2312"/>
          <w:sz w:val="32"/>
          <w:szCs w:val="32"/>
        </w:rPr>
        <w:t>更新1次，每月推出“月度精选”。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数据分析：建立播放量、点赞量等监测体系，优化内容方向。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五、预算明细与保障措施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预算构成：细化人员费用、设备租赁、平台推广等支出。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质量保障：承诺视频审核机制、应急预案及版权合规性。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六、预期成效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2098" w:right="1531" w:bottom="1985" w:left="1531" w:header="851" w:footer="1361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量化目标：计划制作短视频XX期，覆盖学校XX所，预计总播放量超XX万次，形成可复制经验集XX份。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90322-6D0F-4A4E-9FFF-149D94B32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5378C6-79BB-400F-A90D-A309467A63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EB7AEBC-CF18-425F-A2F5-8AF7D42468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FCB644-C59B-4293-8F29-30E6A06D8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767A48CA"/>
    <w:rsid w:val="767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2025-12-15T14:28:00Z</dcterms:created>
  <dc:creator>Colamilkshake</dc:creator>
  <cp:lastModifiedBy>Colamilkshake</cp:lastModifiedBy>
  <dcterms:modified xsi:type="dcterms:W3CDTF">2025-12-15T14:29:56Z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713F828C95D34C92A007227E6B2F6D87_11</vt:lpwstr>
  </property>
</Properties>
</file>