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A120B">
      <w:pPr>
        <w:rPr>
          <w:rFonts w:ascii="Times New Roman" w:hAnsi="Times New Roman" w:eastAsia="黑体"/>
          <w:color w:val="000000"/>
          <w:szCs w:val="32"/>
        </w:rPr>
      </w:pPr>
      <w:r>
        <w:rPr>
          <w:rFonts w:hint="eastAsia" w:ascii="Times New Roman" w:hAnsi="Times New Roman" w:eastAsia="黑体"/>
          <w:color w:val="000000"/>
          <w:szCs w:val="32"/>
        </w:rPr>
        <w:t>附件1</w:t>
      </w:r>
    </w:p>
    <w:p w14:paraId="32C2CE71">
      <w:pPr>
        <w:pStyle w:val="18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方正小标宋_GBK"/>
          <w:color w:val="000000"/>
          <w:sz w:val="44"/>
          <w:szCs w:val="36"/>
        </w:rPr>
        <w:t xml:space="preserve">办公家具报价清单 </w:t>
      </w:r>
    </w:p>
    <w:p w14:paraId="45D8C006">
      <w:pPr>
        <w:rPr>
          <w:rFonts w:ascii="Times New Roman" w:hAnsi="Times New Roman"/>
        </w:rPr>
      </w:pPr>
    </w:p>
    <w:tbl>
      <w:tblPr>
        <w:tblStyle w:val="9"/>
        <w:tblW w:w="54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83"/>
        <w:gridCol w:w="1635"/>
        <w:gridCol w:w="1093"/>
        <w:gridCol w:w="8288"/>
        <w:gridCol w:w="750"/>
        <w:gridCol w:w="544"/>
        <w:gridCol w:w="788"/>
        <w:gridCol w:w="900"/>
      </w:tblGrid>
      <w:tr w14:paraId="54F4A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tblHeader/>
          <w:jc w:val="center"/>
        </w:trPr>
        <w:tc>
          <w:tcPr>
            <w:tcW w:w="493" w:type="dxa"/>
            <w:noWrap w:val="0"/>
            <w:vAlign w:val="center"/>
          </w:tcPr>
          <w:p w14:paraId="1A9E569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3" w:type="dxa"/>
            <w:noWrap w:val="0"/>
            <w:vAlign w:val="center"/>
          </w:tcPr>
          <w:p w14:paraId="0AC095D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35" w:type="dxa"/>
            <w:noWrap w:val="0"/>
            <w:vAlign w:val="center"/>
          </w:tcPr>
          <w:p w14:paraId="5C62835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参考图片</w:t>
            </w:r>
          </w:p>
        </w:tc>
        <w:tc>
          <w:tcPr>
            <w:tcW w:w="1094" w:type="dxa"/>
            <w:noWrap w:val="0"/>
            <w:vAlign w:val="center"/>
          </w:tcPr>
          <w:p w14:paraId="37C53C5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规格型号（mm）</w:t>
            </w:r>
          </w:p>
        </w:tc>
        <w:tc>
          <w:tcPr>
            <w:tcW w:w="8288" w:type="dxa"/>
            <w:noWrap w:val="0"/>
            <w:vAlign w:val="center"/>
          </w:tcPr>
          <w:p w14:paraId="2F834E2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技术参数及商务要求</w:t>
            </w:r>
          </w:p>
        </w:tc>
        <w:tc>
          <w:tcPr>
            <w:tcW w:w="750" w:type="dxa"/>
            <w:noWrap w:val="0"/>
            <w:vAlign w:val="center"/>
          </w:tcPr>
          <w:p w14:paraId="5A059614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报价响应</w:t>
            </w:r>
          </w:p>
        </w:tc>
        <w:tc>
          <w:tcPr>
            <w:tcW w:w="544" w:type="dxa"/>
            <w:noWrap w:val="0"/>
            <w:vAlign w:val="center"/>
          </w:tcPr>
          <w:p w14:paraId="18C9B25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87" w:type="dxa"/>
            <w:noWrap w:val="0"/>
            <w:vAlign w:val="center"/>
          </w:tcPr>
          <w:p w14:paraId="52C0D64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限额</w:t>
            </w:r>
          </w:p>
          <w:p w14:paraId="2A515F4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00" w:type="dxa"/>
            <w:noWrap w:val="0"/>
            <w:vAlign w:val="center"/>
          </w:tcPr>
          <w:p w14:paraId="6C1336F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限额</w:t>
            </w:r>
          </w:p>
          <w:p w14:paraId="79608FC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18"/>
                <w:szCs w:val="18"/>
              </w:rPr>
              <w:t>总价</w:t>
            </w:r>
          </w:p>
        </w:tc>
      </w:tr>
      <w:tr w14:paraId="380A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1" w:hRule="atLeast"/>
          <w:jc w:val="center"/>
        </w:trPr>
        <w:tc>
          <w:tcPr>
            <w:tcW w:w="493" w:type="dxa"/>
            <w:noWrap w:val="0"/>
            <w:vAlign w:val="center"/>
          </w:tcPr>
          <w:p w14:paraId="6F332FD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noWrap w:val="0"/>
            <w:vAlign w:val="center"/>
          </w:tcPr>
          <w:p w14:paraId="76BFD88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1635" w:type="dxa"/>
            <w:noWrap w:val="0"/>
            <w:vAlign w:val="center"/>
          </w:tcPr>
          <w:p w14:paraId="18C164D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836295" cy="1118235"/>
                  <wp:effectExtent l="0" t="0" r="1905" b="5715"/>
                  <wp:docPr id="1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2A89511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830*660*1090mm</w:t>
            </w:r>
          </w:p>
          <w:p w14:paraId="03E0516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（±10mm）</w:t>
            </w:r>
          </w:p>
        </w:tc>
        <w:tc>
          <w:tcPr>
            <w:tcW w:w="8288" w:type="dxa"/>
            <w:noWrap w:val="0"/>
            <w:vAlign w:val="center"/>
          </w:tcPr>
          <w:p w14:paraId="7F3C1F7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1.规格：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830*660*1090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mm,（±10mm）；</w:t>
            </w:r>
          </w:p>
          <w:p w14:paraId="3163991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▲2.皮面采用牛皮，牛皮依据GB/T 16799-2018、QB/T 4371-2012标准，要求摩擦色牢度（干擦、湿擦、碱性汗液）≥4级，耐光性≥5级，涂层粘着牢度≥2.5N/10mm，耐折牢度（50000次）无裂纹，耐磨性（CS-10500g，500r）：无明显损伤、剥落，撕裂力≥20N，气味≤3级，pH≥3.2，禁用偶氮染料无检出，游离甲醛≤20mg/kg，挥发性有机物（VOC）≤20mg/kg，金黄色葡萄球菌的抑菌率≥99%，大肠杆菌的抑菌率≥99%。提供通过CMA认证的第三方质量检验检测中心出具的检验检测报告（报告实测内容满足参数要求）。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  <w:p w14:paraId="5ABD1CDE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3.内衬采用优质阻燃海绵，海绵的回弹率≥45%；拉伸强度≥110Kpa；伸长率≥150%；撕裂强度≥2N/cm；75%压缩永久变形≤5%；阻燃性能检验合格。</w:t>
            </w:r>
          </w:p>
          <w:p w14:paraId="03EA8AE7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▲4.框架采用实木，要求含水率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16%，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木材抗弯强度≥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110MPa，木材抗弯弹性模量≥10000MPa，24h吸水率≤80％。（提供通过CMA认证的第三方质量检验检测中心出具的“实木”检验检测报告，报告实测内容满足参数要求）</w:t>
            </w:r>
          </w:p>
          <w:p w14:paraId="0A9850A2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5.涂料：采用环保水性面漆和水性底漆，工艺不低于三底两面。</w:t>
            </w:r>
          </w:p>
          <w:p w14:paraId="27D3F6DB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6.五金件通过人造气氛腐蚀试验盐雾试验。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</w:t>
            </w:r>
          </w:p>
        </w:tc>
        <w:tc>
          <w:tcPr>
            <w:tcW w:w="750" w:type="dxa"/>
            <w:noWrap w:val="0"/>
            <w:vAlign w:val="center"/>
          </w:tcPr>
          <w:p w14:paraId="55FB0AE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0BC22D0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7把</w:t>
            </w:r>
          </w:p>
        </w:tc>
        <w:tc>
          <w:tcPr>
            <w:tcW w:w="787" w:type="dxa"/>
            <w:noWrap w:val="0"/>
            <w:vAlign w:val="center"/>
          </w:tcPr>
          <w:p w14:paraId="340B5A5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800元</w:t>
            </w:r>
          </w:p>
        </w:tc>
        <w:tc>
          <w:tcPr>
            <w:tcW w:w="900" w:type="dxa"/>
            <w:noWrap w:val="0"/>
            <w:vAlign w:val="center"/>
          </w:tcPr>
          <w:p w14:paraId="4125A755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5600元</w:t>
            </w:r>
          </w:p>
        </w:tc>
      </w:tr>
      <w:tr w14:paraId="61DDD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493" w:type="dxa"/>
            <w:noWrap w:val="0"/>
            <w:vAlign w:val="center"/>
          </w:tcPr>
          <w:p w14:paraId="2DE9B52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3" w:type="dxa"/>
            <w:noWrap w:val="0"/>
            <w:vAlign w:val="center"/>
          </w:tcPr>
          <w:p w14:paraId="05EDB5A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三人</w:t>
            </w:r>
          </w:p>
          <w:p w14:paraId="7267A76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沙发</w:t>
            </w:r>
          </w:p>
        </w:tc>
        <w:tc>
          <w:tcPr>
            <w:tcW w:w="1635" w:type="dxa"/>
            <w:noWrap w:val="0"/>
            <w:vAlign w:val="center"/>
          </w:tcPr>
          <w:p w14:paraId="096B6E8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drawing>
                <wp:inline distT="0" distB="0" distL="114300" distR="114300">
                  <wp:extent cx="981075" cy="845820"/>
                  <wp:effectExtent l="0" t="0" r="9525" b="11430"/>
                  <wp:docPr id="2" name="图片 38" descr="说明: 传统款三人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8" descr="说明: 传统款三人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208" t="13062" r="7497" b="8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3186111F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  <w:p w14:paraId="37E9136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2120*880*900mm</w:t>
            </w:r>
          </w:p>
          <w:p w14:paraId="7DB822C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（±10mm）</w:t>
            </w:r>
          </w:p>
        </w:tc>
        <w:tc>
          <w:tcPr>
            <w:tcW w:w="8288" w:type="dxa"/>
            <w:noWrap w:val="0"/>
            <w:vAlign w:val="center"/>
          </w:tcPr>
          <w:p w14:paraId="0CB2B9F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1、包覆材料：身体接触面采用牛皮，皮革厚度≥1.0mm；其余部分为西皮。</w:t>
            </w:r>
          </w:p>
          <w:p w14:paraId="4A3ACBC2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2.牛皮：要求摩擦色牢度（干擦、湿擦、碱性汗液）≥4级，耐光性≥5级，涂层粘着牢度≥2.5N/10mm，耐折牢度（50000次）无裂纹，耐磨性（CS--10500g，500r）：无明显损伤、剥落，撕裂力≥20N，气味≤3级，pH≥3.2，禁用偶氮染料无检出，游离甲醛≤20mg/kg，挥发性有机物（VOC）≤20mg/kg，金黄色葡萄球菌的抑菌率≥99%，大肠杆菌的抑菌率≥99%。提供通过CMA认证的第三方质量检验检测中心出具的检验检测报告（报告实测内容满足参数要求）。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  <w:p w14:paraId="3A89C058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▲3、填充材料：采用海绵，要求达到75%压缩永久变形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8%，回弹率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35%，断裂伸长率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100%，撕裂强度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1.8N/cm，表观密度≥30kg/m3，游离甲醛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10mg/kg，总挥发性有机化合物（TVOC）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0.120mg/m2h，金黄色葡萄球菌的抑菌率≥99％。</w:t>
            </w:r>
          </w:p>
          <w:p w14:paraId="7E5A48D4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4、框架：采用烘干刨光木方，无虫蚀、腐朽材，内部衬垫物干燥无虫卵；内结构采用直径不小于4mm蛇形弹簧，椭圆连接钢丝，高弹力绷带，透气网布，不低于1.0mm厚多层板。</w:t>
            </w:r>
          </w:p>
          <w:p w14:paraId="3B882965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5、绷带：要求甲醛含量≤20mg/kg，PH值4.0～7.5，氯化苯酚（五氯苯酚PCP）无检出，富马酸二甲酯（DMF）无检出，邻苯二甲酸酯（DBP、BBP、DEHP、DNOP、DINP、DIDP）无检出。(提供通过国家认证具有CMA标识的第三方检验检测机构出具的“绷带”检验报告复印件并加盖投标人公章)</w:t>
            </w:r>
          </w:p>
          <w:p w14:paraId="02497820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▲6、沙发：依据QB/T 1952.1--2023，要求产品用料加工（用料一致性、木制件、木材含水率、铺垫料、泡沫塑料、防锈处理、摩擦声）合格，力学性能（沙发座背及扶手耐久性、压缩量）合格，甲醛释放量≤0.03mg/m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，苯≤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0.01mg/m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，甲苯≤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0.05mg/m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，二甲苯（邻、间、对二甲苯之和）≤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0.05mg/m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，总挥发性有机化合物（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TVOC）≤0.10mg/m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，多溴联苯≤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100mg/kg，多溴二苯醚≤100mg/kg。(提供通过国家认证具有CMA标识的第三方检验检测机构出具的“沙发”检验报告复印件并加盖投标人公章)</w:t>
            </w:r>
          </w:p>
        </w:tc>
        <w:tc>
          <w:tcPr>
            <w:tcW w:w="750" w:type="dxa"/>
            <w:noWrap w:val="0"/>
            <w:vAlign w:val="center"/>
          </w:tcPr>
          <w:p w14:paraId="04EA9B1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00268D30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5个</w:t>
            </w:r>
          </w:p>
        </w:tc>
        <w:tc>
          <w:tcPr>
            <w:tcW w:w="787" w:type="dxa"/>
            <w:noWrap w:val="0"/>
            <w:vAlign w:val="center"/>
          </w:tcPr>
          <w:p w14:paraId="0690900D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2500元</w:t>
            </w:r>
          </w:p>
        </w:tc>
        <w:tc>
          <w:tcPr>
            <w:tcW w:w="900" w:type="dxa"/>
            <w:noWrap w:val="0"/>
            <w:vAlign w:val="center"/>
          </w:tcPr>
          <w:p w14:paraId="276D5D63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12500元</w:t>
            </w:r>
          </w:p>
        </w:tc>
      </w:tr>
      <w:tr w14:paraId="410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493" w:type="dxa"/>
            <w:noWrap w:val="0"/>
            <w:vAlign w:val="center"/>
          </w:tcPr>
          <w:p w14:paraId="70615A2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3" w:type="dxa"/>
            <w:noWrap w:val="0"/>
            <w:vAlign w:val="center"/>
          </w:tcPr>
          <w:p w14:paraId="7E880AD5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方茶几</w:t>
            </w:r>
          </w:p>
        </w:tc>
        <w:tc>
          <w:tcPr>
            <w:tcW w:w="1635" w:type="dxa"/>
            <w:noWrap w:val="0"/>
            <w:vAlign w:val="center"/>
          </w:tcPr>
          <w:p w14:paraId="794BCB3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drawing>
                <wp:inline distT="0" distB="0" distL="114300" distR="114300">
                  <wp:extent cx="701675" cy="586740"/>
                  <wp:effectExtent l="0" t="0" r="3175" b="3810"/>
                  <wp:docPr id="3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742AFB7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600*600*450mm</w:t>
            </w:r>
          </w:p>
          <w:p w14:paraId="48B2674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（±10mm）</w:t>
            </w:r>
          </w:p>
        </w:tc>
        <w:tc>
          <w:tcPr>
            <w:tcW w:w="8288" w:type="dxa"/>
            <w:noWrap w:val="0"/>
            <w:vAlign w:val="center"/>
          </w:tcPr>
          <w:p w14:paraId="203C22E0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▲1、基材：板材采用中密度纤维板，主体部件厚度≥18mm，②贴面：采用胡桃木皮，厚度≥0.3mm。③涂料：采用环保水性面漆和水性底漆，要求色泽均匀。</w:t>
            </w:r>
          </w:p>
          <w:p w14:paraId="7D2399F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▲2、中密度纤维板：要求外观质量、尺寸偏差、表面耐液性、耐湿热、耐干热、耐冷热温差、表面抗冲击均符合GB/T 37005--2018标准要求，含水率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14.0%，密度≥0.6g/cm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，静曲强度≥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23MPa，弹性模量≥3000MPa，表面耐磨≤0.15g/100r，且漆膜未磨透，内结合强度≥0.30MPa，24h吸水厚度膨胀率≤5%，表面结合强度≥0.60MPa， 漆膜附着力3级及以上，漆膜硬度≥1H，耐光色牢度≥灰度卡4级，握螺钉力板面≥1200N，板边≥800N，甲醛释放量≤0.05mg/m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18"/>
                <w:szCs w:val="18"/>
              </w:rPr>
              <w:t>，挥发性有机化合物（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72h）均无检出，金黄色葡萄球菌的抑菌率≥99%，大肠杆菌的抑菌率≥99%。</w:t>
            </w:r>
          </w:p>
          <w:p w14:paraId="374E8B40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3、设计要求：顶板4角和侧板竖边倒R角，外可见面喷油，其他部件为免漆板。</w:t>
            </w:r>
          </w:p>
          <w:p w14:paraId="74B9291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4、产品颜色：黑胡桃色+岩灰白（供货前提供色卡，由招标方选择确认）。</w:t>
            </w:r>
          </w:p>
          <w:p w14:paraId="0A1DA161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 xml:space="preserve">▲5、茶几：依据QB/T 4467-2013，要求形状和位置公差（邻边垂直度、翘曲度、平整度、着地平稳性）均检测合格，木制件漆膜（耐液性、耐干热、耐湿热、耐冷热温差、附着力、抗冲击、耐磨性）均检测合格，力学性能（桌类垂直静载荷试验、桌类水平静载荷试验、桌面垂直冲击试验、桌腿跌落试验、桌面水平耐久性试验、桌类垂直加载稳定性试验、桌类垂直和水平加载稳定性试验）均检测合格。提供国家认可的第三方检测机构出具的检测报告扫描件。 </w:t>
            </w:r>
          </w:p>
        </w:tc>
        <w:tc>
          <w:tcPr>
            <w:tcW w:w="750" w:type="dxa"/>
            <w:noWrap w:val="0"/>
            <w:vAlign w:val="center"/>
          </w:tcPr>
          <w:p w14:paraId="14896B38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602F45A5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5个</w:t>
            </w:r>
          </w:p>
        </w:tc>
        <w:tc>
          <w:tcPr>
            <w:tcW w:w="787" w:type="dxa"/>
            <w:noWrap w:val="0"/>
            <w:vAlign w:val="center"/>
          </w:tcPr>
          <w:p w14:paraId="7F849473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800元</w:t>
            </w:r>
          </w:p>
        </w:tc>
        <w:tc>
          <w:tcPr>
            <w:tcW w:w="900" w:type="dxa"/>
            <w:noWrap w:val="0"/>
            <w:vAlign w:val="center"/>
          </w:tcPr>
          <w:p w14:paraId="6F205681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4000元</w:t>
            </w:r>
          </w:p>
        </w:tc>
      </w:tr>
      <w:tr w14:paraId="6458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5" w:hRule="atLeast"/>
          <w:jc w:val="center"/>
        </w:trPr>
        <w:tc>
          <w:tcPr>
            <w:tcW w:w="493" w:type="dxa"/>
            <w:noWrap w:val="0"/>
            <w:vAlign w:val="center"/>
          </w:tcPr>
          <w:p w14:paraId="5D1A8BF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 w14:paraId="74A3EB2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铁皮文件柜</w:t>
            </w:r>
          </w:p>
        </w:tc>
        <w:tc>
          <w:tcPr>
            <w:tcW w:w="1635" w:type="dxa"/>
            <w:noWrap w:val="0"/>
            <w:vAlign w:val="center"/>
          </w:tcPr>
          <w:p w14:paraId="33CF53B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drawing>
                <wp:inline distT="0" distB="0" distL="114300" distR="114300">
                  <wp:extent cx="455930" cy="1094740"/>
                  <wp:effectExtent l="0" t="0" r="1270" b="10160"/>
                  <wp:docPr id="4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19CD0EA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900*400*1800mm</w:t>
            </w:r>
          </w:p>
          <w:p w14:paraId="1B0517C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（±10mm）</w:t>
            </w:r>
          </w:p>
        </w:tc>
        <w:tc>
          <w:tcPr>
            <w:tcW w:w="8288" w:type="dxa"/>
            <w:noWrap w:val="0"/>
            <w:vAlign w:val="center"/>
          </w:tcPr>
          <w:p w14:paraId="32A08804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▲1、板材采用冷轧钢板，门板裸板厚度0.7mm以上，侧板裸板厚度0.6mm以上，其余部件裸板厚度不低于0.5mm。</w:t>
            </w:r>
          </w:p>
          <w:p w14:paraId="013D6FD6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2、采用多工位表面处理工艺：水洗--预脱脂--主脱脂--水洗--表调--皮膜--水洗--沥水--烘干--喷粉--粉末固化。</w:t>
            </w:r>
          </w:p>
          <w:p w14:paraId="114CD72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3、冷轧钢板：要求规定塑性延伸强度≥195Mpa、抗拉强度315～430Mpa、断后伸长率≥24％），表面结构（平均粗糙度）≤0.9μm，外形：不平度≤8mm、镰刀弯≤5mm/2000mm、脱方度≤7mm、塔形:≤40mm；经人造气氛腐蚀试验，保护评级达到10级，外观评级达到10级。(提供通过国家认证具有CMA标识的第三方检验检测机构出具的“冷轧钢板”检验报告复印件并加盖投标人公章，检测内容满足或优于参数要求)</w:t>
            </w:r>
          </w:p>
          <w:p w14:paraId="41A71BD6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4、粉末涂料：要求筛余物（125μm）全部通过，涂膜外观正常，附着力（干附着力）≤1级，铅笔硬度≥H，耐冲击性（正向冲击）检测要求高度50cm，无裂纹、皱纹及剥落现象，杯突试验≥4mm，弯曲试验≤4mm，耐磨性、耐酸性、耐碱性、耐沸水性、耐湿性（室内用）、耐人工气候老化性均检测合格，重金属元素含量中铅（Pb）≤10mg/kg，镉（Cd）≤10mg/kg，六价铬（Cr</w:t>
            </w:r>
            <w:r>
              <w:rPr>
                <w:rFonts w:hint="eastAsia" w:ascii="Times New Roman" w:hAnsi="Times New Roman" w:eastAsia="MS Mincho" w:cs="MS Mincho"/>
                <w:color w:val="000000"/>
                <w:kern w:val="0"/>
                <w:sz w:val="18"/>
                <w:szCs w:val="18"/>
              </w:rPr>
              <w:t>⁶⁺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）≤10mg/kg，汞（Hg）≤10mg/kg，砷（As）≤10mg/kg，钡（Ba）≤600mg/kg，硒（Se）≤10mg/kg，锑（Sb）≤10mg/kg，钴（Co）≤10mg/kg。(提供通过国家认证具有CMA标识的第三方检验检测机构出具的“粉末涂料”检验报告复印件并加盖投标人公章，检测内容满足或优于参数要求)</w:t>
            </w:r>
          </w:p>
          <w:p w14:paraId="17C8AC2F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5、柜体正面边框采用厚度8mm薄边设计，柜体顶前边内置U型顶加强梁；柜体前侧加强筋和柜体隔板调节竖筋采用多次折弯成型筋条，增加柜体强度及承重能力。采用ABS椭圆形扣手，扣手外观尺寸29*120±2mm。门板基材冲压双向成型式标签框，成型尺寸33*62±1mm,双向成型深度2mm。</w:t>
            </w:r>
          </w:p>
          <w:p w14:paraId="35E64416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6、隔板可上下调节，调节间距≤20mm；隔板配置一根辊压成型加强筋，加强筋底面一条R6半圆通筋，两侧面各配置一条R1.6半圆通筋。</w:t>
            </w:r>
          </w:p>
          <w:p w14:paraId="2BC8E543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7、上门铰采用3mm钣金冰箱式铰座。带框玻门安装4mm浮法玻璃,采用U型胶条配合柔性塑料固定卡固定玻璃。锁杆采用截面尺寸2.5mm*14mm，带2条应力释放槽的铝材制锁杆，锁杆搭配PE材质锁杆导向套安装，保证锁杆开启轻巧、灵活。生产工艺孔配置pp材质Φ14mm装饰帽,四扣位安装稳固不易掉落。</w:t>
            </w:r>
          </w:p>
          <w:p w14:paraId="6FB0CF51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8、门板使用锁机构：配置1把机械转舌锁，1件PA材质传动轮，2件PA材质U型锁座。</w:t>
            </w:r>
          </w:p>
          <w:p w14:paraId="3E1F2C8C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9、锁具：要求保密度（弹子锁钥匙不同牙花数、弹子锁互开率、弹子锁锁头结构、锁舌伸出长度）检测合格，牢固度（锁头固定连接静拉力、锁头固定连接扭矩、锁芯拨动件扭矩、锁舌侧向静载荷、弹子锁使用寿命）检测合格，灵活度（钥匙插拔旋转、钥匙拔出静拉力、钥匙开启扭矩）检测合格，外观质量（锁头钥匙、电镀件）检测合格；经人造气氛腐蚀试验，保护评级达到10级，外观评级达到10级。(提供通过国家认证具有CMA标识的第三方检验检测机构出具的“锁具”检验报告复印件并加盖投标人公章，检测内容满足或优于参数要求)</w:t>
            </w:r>
          </w:p>
        </w:tc>
        <w:tc>
          <w:tcPr>
            <w:tcW w:w="750" w:type="dxa"/>
            <w:noWrap w:val="0"/>
            <w:vAlign w:val="center"/>
          </w:tcPr>
          <w:p w14:paraId="05754E85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579D46AC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11组</w:t>
            </w:r>
          </w:p>
        </w:tc>
        <w:tc>
          <w:tcPr>
            <w:tcW w:w="787" w:type="dxa"/>
            <w:noWrap w:val="0"/>
            <w:vAlign w:val="center"/>
          </w:tcPr>
          <w:p w14:paraId="571AF034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1000元</w:t>
            </w:r>
          </w:p>
        </w:tc>
        <w:tc>
          <w:tcPr>
            <w:tcW w:w="900" w:type="dxa"/>
            <w:noWrap w:val="0"/>
            <w:vAlign w:val="center"/>
          </w:tcPr>
          <w:p w14:paraId="43086DB6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11000元</w:t>
            </w:r>
          </w:p>
        </w:tc>
      </w:tr>
      <w:tr w14:paraId="05C22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4" w:hRule="atLeast"/>
          <w:jc w:val="center"/>
        </w:trPr>
        <w:tc>
          <w:tcPr>
            <w:tcW w:w="493" w:type="dxa"/>
            <w:noWrap w:val="0"/>
            <w:vAlign w:val="center"/>
          </w:tcPr>
          <w:p w14:paraId="1C4ECBE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3" w:type="dxa"/>
            <w:noWrap w:val="0"/>
            <w:vAlign w:val="center"/>
          </w:tcPr>
          <w:p w14:paraId="461D860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1635" w:type="dxa"/>
            <w:noWrap w:val="0"/>
            <w:vAlign w:val="center"/>
          </w:tcPr>
          <w:p w14:paraId="2E4C29B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drawing>
                <wp:inline distT="0" distB="0" distL="114300" distR="114300">
                  <wp:extent cx="603885" cy="1047750"/>
                  <wp:effectExtent l="0" t="0" r="5715" b="0"/>
                  <wp:docPr id="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351D3B9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900*400*1800mm（±10mm）</w:t>
            </w:r>
          </w:p>
        </w:tc>
        <w:tc>
          <w:tcPr>
            <w:tcW w:w="8288" w:type="dxa"/>
            <w:noWrap w:val="0"/>
            <w:vAlign w:val="center"/>
          </w:tcPr>
          <w:p w14:paraId="2E3E8C5E">
            <w:pPr>
              <w:ind w:firstLine="180" w:firstLineChars="100"/>
              <w:jc w:val="left"/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 xml:space="preserve">1、基材：采用冷轧钢板，符合GB/T 5213-2019《冷轧低碳钢板及钢带》的标准和相关技术要求。 </w:t>
            </w:r>
          </w:p>
          <w:p w14:paraId="6F52AA4C">
            <w:pPr>
              <w:ind w:firstLine="180" w:firstLineChars="100"/>
              <w:jc w:val="left"/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 xml:space="preserve">2、塑粉：符合HG/T 2006-2022《热固性和热塑性粉末涂料》的标准和要求。                                                                                                          　           </w:t>
            </w:r>
          </w:p>
          <w:p w14:paraId="160F107D">
            <w:pPr>
              <w:autoSpaceDE w:val="0"/>
              <w:autoSpaceDN w:val="0"/>
              <w:adjustRightInd w:val="0"/>
              <w:ind w:firstLine="180" w:firstLineChars="100"/>
              <w:jc w:val="left"/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 xml:space="preserve">3、锁具：电子密码锁：①密码设置位数不少于8位；②正常使用无明文显示，无需使用隐码功能；③管理密码不能开启柜门；④报警时间不小于60秒，0.5M测试声响不小于100分贝；⑤开启记录查询功能；⑥可设置震动报警；⑦三次错码后会立刻报警；⑧低电量提示功能，电池无电情况下可用应急钥匙打开柜门。                                                                                        </w:t>
            </w:r>
          </w:p>
          <w:p w14:paraId="25D1A40D">
            <w:pPr>
              <w:autoSpaceDE w:val="0"/>
              <w:autoSpaceDN w:val="0"/>
              <w:adjustRightInd w:val="0"/>
              <w:ind w:left="208" w:leftChars="65" w:firstLine="180" w:firstLineChars="100"/>
              <w:jc w:val="left"/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 xml:space="preserve">4、配件：缓冲导轨，符合QB/T 2454-2013《家具五金抽屉导轨》的标准和要求。                                                                                      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 xml:space="preserve">5、配置：板材厚度≥1.2mm。  </w:t>
            </w:r>
          </w:p>
          <w:p w14:paraId="399D79F1">
            <w:pPr>
              <w:autoSpaceDE w:val="0"/>
              <w:autoSpaceDN w:val="0"/>
              <w:adjustRightInd w:val="0"/>
              <w:ind w:left="208" w:leftChars="65" w:firstLine="180" w:firstLineChars="100"/>
              <w:jc w:val="left"/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6、成品：符合BMB54-2020《安全保密产品 保密柜安全保密技术要求》的标准和</w:t>
            </w:r>
          </w:p>
          <w:p w14:paraId="471FD7CB"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要求。</w:t>
            </w:r>
          </w:p>
        </w:tc>
        <w:tc>
          <w:tcPr>
            <w:tcW w:w="750" w:type="dxa"/>
            <w:noWrap w:val="0"/>
            <w:vAlign w:val="center"/>
          </w:tcPr>
          <w:p w14:paraId="6C9DEA8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7CCA355F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4个</w:t>
            </w:r>
          </w:p>
        </w:tc>
        <w:tc>
          <w:tcPr>
            <w:tcW w:w="787" w:type="dxa"/>
            <w:noWrap w:val="0"/>
            <w:vAlign w:val="center"/>
          </w:tcPr>
          <w:p w14:paraId="52C2B7EB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2500元</w:t>
            </w:r>
          </w:p>
        </w:tc>
        <w:tc>
          <w:tcPr>
            <w:tcW w:w="900" w:type="dxa"/>
            <w:noWrap w:val="0"/>
            <w:vAlign w:val="center"/>
          </w:tcPr>
          <w:p w14:paraId="726F79EA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10000元</w:t>
            </w:r>
          </w:p>
        </w:tc>
      </w:tr>
      <w:tr w14:paraId="7F5BD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8" w:hRule="atLeast"/>
          <w:jc w:val="center"/>
        </w:trPr>
        <w:tc>
          <w:tcPr>
            <w:tcW w:w="493" w:type="dxa"/>
            <w:noWrap w:val="0"/>
            <w:vAlign w:val="center"/>
          </w:tcPr>
          <w:p w14:paraId="53C4B94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3" w:type="dxa"/>
            <w:noWrap w:val="0"/>
            <w:vAlign w:val="center"/>
          </w:tcPr>
          <w:p w14:paraId="6FD73AC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保密柜</w:t>
            </w:r>
          </w:p>
          <w:p w14:paraId="7C5B5121">
            <w:pPr>
              <w:pStyle w:val="18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（小）</w:t>
            </w:r>
          </w:p>
        </w:tc>
        <w:tc>
          <w:tcPr>
            <w:tcW w:w="1635" w:type="dxa"/>
            <w:noWrap w:val="0"/>
            <w:vAlign w:val="center"/>
          </w:tcPr>
          <w:p w14:paraId="6242C85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889635" cy="1186180"/>
                  <wp:effectExtent l="0" t="0" r="5715" b="13970"/>
                  <wp:docPr id="6" name="图片 10" descr="e6e7c3a9efe6c26ba6bb0e5c93601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e6e7c3a9efe6c26ba6bb0e5c93601a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555D45B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570*430*1020mm（±10mm）</w:t>
            </w:r>
          </w:p>
        </w:tc>
        <w:tc>
          <w:tcPr>
            <w:tcW w:w="8288" w:type="dxa"/>
            <w:noWrap w:val="0"/>
            <w:vAlign w:val="center"/>
          </w:tcPr>
          <w:p w14:paraId="16D73418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▲1、面板、侧板厚度采用不低于1.1mm冷轧钢板裸板，背板、层板厚度采用不低于1.0mm冷轧钢板裸板；柜体和门板采用桔灰塑粉，具备橘皮纹理。柜面加中纤板覆面。</w:t>
            </w:r>
          </w:p>
          <w:p w14:paraId="14AF5EE2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2、多工位表面处理工艺：水洗--预脱脂--主脱脂--水洗--表调--皮膜--水洗--沥水--烘干--喷粉--粉末固化。</w:t>
            </w:r>
          </w:p>
          <w:p w14:paraId="2800F2EB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▲3、冷轧钢板：要求 力学性能规定塑性延伸强度≥195Mpa、抗拉强度315～430Mpa、断后伸长率≥24％，弯曲试验（180°）试样弯曲处的外面和侧面不应有目视可见的裂纹，表面结构（平均粗糙度）≤0.9μm，外形不平度≤8mm、镰刀弯≤5mm/2000mm、脱方度≤7mm、塔形≤40mm；经人造气氛腐蚀试验，保护评级均达到10级，外观评级均达到10级。4、门内搁板可按20mm倍数上下调节，搁板底部配置一件辊压成型加强筋，加强筋底面一条R6半圆通筋，两侧面各配置一条R1.6半圆通筋。</w:t>
            </w:r>
          </w:p>
          <w:p w14:paraId="7C5DE9CC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 xml:space="preserve">4、面板采用电子密码锁，报警时间不小于60秒，0.5M测试声响不小于100分贝；可开启记录查询功能；可设置震动报警；三次错码高亮报警；具有低电量提示功能。 </w:t>
            </w:r>
          </w:p>
          <w:p w14:paraId="5D451679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5、右门冲压钣金成型式标签框，成型尺寸30*70(mm)。</w:t>
            </w:r>
          </w:p>
          <w:p w14:paraId="225CBC38">
            <w:pPr>
              <w:autoSpaceDE w:val="0"/>
              <w:autoSpaceDN w:val="0"/>
              <w:adjustRightInd w:val="0"/>
              <w:ind w:firstLine="180" w:firstLineChars="100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6.依据GB/T3325--2024，要求：尺寸、外观性能--金属件（焊接件、冲压件、喷漆（塑）涂层）均检测合格。(提供通过国家认证具有CMA标识的第三方检验检测机构出具的“密码柜”检验报告复印件并加盖投标人公章，检测内容满足或优于参数要求)。</w:t>
            </w:r>
          </w:p>
          <w:p w14:paraId="11171C1E">
            <w:pPr>
              <w:autoSpaceDE w:val="0"/>
              <w:autoSpaceDN w:val="0"/>
              <w:adjustRightInd w:val="0"/>
              <w:ind w:firstLine="180" w:firstLineChars="100"/>
              <w:jc w:val="left"/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7.符合BMB54-2020 安全保密产品,保密柜安全保密技术要求（提供具有CMA认证的检测报告或证书）</w:t>
            </w:r>
          </w:p>
        </w:tc>
        <w:tc>
          <w:tcPr>
            <w:tcW w:w="750" w:type="dxa"/>
            <w:noWrap w:val="0"/>
            <w:vAlign w:val="center"/>
          </w:tcPr>
          <w:p w14:paraId="61EB5FFA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73DA51BB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2个</w:t>
            </w:r>
          </w:p>
        </w:tc>
        <w:tc>
          <w:tcPr>
            <w:tcW w:w="787" w:type="dxa"/>
            <w:noWrap w:val="0"/>
            <w:vAlign w:val="center"/>
          </w:tcPr>
          <w:p w14:paraId="18ACFC88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2500元</w:t>
            </w:r>
          </w:p>
        </w:tc>
        <w:tc>
          <w:tcPr>
            <w:tcW w:w="900" w:type="dxa"/>
            <w:noWrap w:val="0"/>
            <w:vAlign w:val="center"/>
          </w:tcPr>
          <w:p w14:paraId="6FADD0B7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5000元</w:t>
            </w:r>
          </w:p>
        </w:tc>
      </w:tr>
      <w:tr w14:paraId="71923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 w14:paraId="2DD31C1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42757E26">
            <w:pPr>
              <w:pStyle w:val="18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会议室会议桌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 w14:paraId="43502E4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908685" cy="845820"/>
                  <wp:effectExtent l="0" t="0" r="5715" b="1143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14FB073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3人座</w:t>
            </w:r>
          </w:p>
        </w:tc>
        <w:tc>
          <w:tcPr>
            <w:tcW w:w="8288" w:type="dxa"/>
            <w:noWrap w:val="0"/>
            <w:vAlign w:val="center"/>
          </w:tcPr>
          <w:p w14:paraId="425205D6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</w:p>
          <w:p w14:paraId="2934E9E9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规格：1800*500*750mm；（±10mm）（所列指标为参考尺寸，最终尺寸以供应商实地测量并经采购人确认尺寸为准。）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1、板材采用中密度纤维板，木皮饰面，环保油漆涂饰；台面不低于32mm，侧脚不低于25mm。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2、中密度纤维板：符合GB/T 11718-2021标准要求，尺寸偏差、密度及偏差、含水率合格，物理力学性能（静曲强度、弹性模量、内胶合强度、吸水厚度膨胀率、表面胶合强度、防潮性能）合格，其他要求（握螺钉力、表面吸收性能和尺寸稳定性）合格；符合GB/T 35601-2017标准要求，甲醛释放量≤0.05mg/m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，挥发性有机化合物（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72h）苯≤10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、二甲苯≤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TVOC≤100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3、下装带层板，挡板宽600mm；采用三合一连接件等五金件。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▲ 4、条桌：依据GB/T 3324-2017，要求主要尺寸及其偏差（桌类主要尺寸、产品外形尺寸偏差）均检测合格，形状和位置公差（翘曲、平整度、邻边垂直度、底脚平稳性）均检测合格，表面理化性能要求（漆膜耐液性、漆膜耐湿热、漆膜耐干热、漆膜附着力、漆膜耐冷热温差、漆膜耐磨性、漆膜抗冲击）均检测合格，力学性能要求（桌类垂直静载荷试验、桌类水平静载荷试验、桌面垂直冲击试验、桌腿跌落试验、桌面水平耐久性试验、桌类垂直加载稳定性试验、桌类垂直和水平加载稳定性试验）均检测合格，木制件甲醛释放量≤0.5mg/L。提供国家认可的第三方检测机构出具的检测报告扫描件。</w:t>
            </w:r>
          </w:p>
          <w:p w14:paraId="39E0C441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15B5D21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4CD0B22F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27张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 w14:paraId="02A523B9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111C882E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4000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.元</w:t>
            </w:r>
          </w:p>
        </w:tc>
      </w:tr>
      <w:tr w14:paraId="7EF63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 w14:paraId="10E1344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 w14:paraId="2F69F6F8">
            <w:pPr>
              <w:pStyle w:val="18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26742E8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C8B198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2人座</w:t>
            </w:r>
          </w:p>
        </w:tc>
        <w:tc>
          <w:tcPr>
            <w:tcW w:w="8288" w:type="dxa"/>
            <w:noWrap w:val="0"/>
            <w:vAlign w:val="center"/>
          </w:tcPr>
          <w:p w14:paraId="39964FC9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</w:p>
          <w:p w14:paraId="6532BD2F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规格：1200*500*750mm；（±10mm）（所列指标为参考尺寸，最终尺寸以供应商实地测量并经采购人确认尺寸为准。）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1、板材采用中密度纤维板，木皮饰面，环保油漆涂饰；台面不低于32mm，侧脚不低于25mm。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2、中密度纤维板：符合GB/T 11718-2021标准要求，尺寸偏差、密度及偏差、含水率合格，物理力学性能（静曲强度、弹性模量、内胶合强度、吸水厚度膨胀率、表面胶合强度、防潮性能）合格，其他要求（握螺钉力、表面吸收性能和尺寸稳定性）合格；符合GB/T 35601-2017标准要求，甲醛释放量≤0.05mg/m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，挥发性有机化合物（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72h）苯≤10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、二甲苯≤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TVOC≤100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3、下装带层板，挡板宽600mm；采用三合一连接件等五金件。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4、条桌：依据GB/T 3324-2017，要求主要尺寸及其偏差（桌类主要尺寸、产品外形尺寸偏差）均检测合格，形状和位置公差（翘曲、平整度、邻边垂直度、底脚平稳性）均检测合格，表面理化性能要求（漆膜耐液性、漆膜耐湿热、漆膜耐干热、漆膜附着力、漆膜耐冷热温差、漆膜耐磨性、漆膜抗冲击）均检测合格，力学性能要求（桌类垂直静载荷试验、桌类水平静载荷试验、桌面垂直冲击试验、桌腿跌落试验、桌面水平耐久性试验、桌类垂直加载稳定性试验、桌类垂直和水平加载稳定性试验）均检测合格，木制件甲醛释放量≤0.5mg/L。提供国家认可的第三方检测机构出具的检测报告扫描件。</w:t>
            </w:r>
          </w:p>
          <w:p w14:paraId="09CB8AB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579DD91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5EFD7F5E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16张</w:t>
            </w:r>
          </w:p>
        </w:tc>
        <w:tc>
          <w:tcPr>
            <w:tcW w:w="787" w:type="dxa"/>
            <w:vMerge w:val="continue"/>
            <w:noWrap w:val="0"/>
            <w:vAlign w:val="center"/>
          </w:tcPr>
          <w:p w14:paraId="3385B02F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D66EB9D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B5D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3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 w14:paraId="0F6EF60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  <w:noWrap w:val="0"/>
            <w:vAlign w:val="center"/>
          </w:tcPr>
          <w:p w14:paraId="30BD5DD5">
            <w:pPr>
              <w:pStyle w:val="18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会议室会议桌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 w14:paraId="7C73172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895985" cy="780415"/>
                  <wp:effectExtent l="0" t="0" r="18415" b="635"/>
                  <wp:docPr id="8" name="图片 43" descr="5dc0d61848d993e3e8c5bc0374b823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3" descr="5dc0d61848d993e3e8c5bc0374b8238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3399A8B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2人座</w:t>
            </w:r>
          </w:p>
        </w:tc>
        <w:tc>
          <w:tcPr>
            <w:tcW w:w="8288" w:type="dxa"/>
            <w:noWrap w:val="0"/>
            <w:vAlign w:val="center"/>
          </w:tcPr>
          <w:p w14:paraId="1F31048E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规格：1400*700*750mm；（±10mm）（所列指标为参考尺寸，最终尺寸以供应商实地测量并经采购人确认尺寸为准。）</w:t>
            </w:r>
          </w:p>
          <w:p w14:paraId="37CD2CCC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1、板材采用中密度纤维板，木皮饰面，环保油漆涂饰；台面不低于32mm，侧脚不低于25mm。</w:t>
            </w:r>
          </w:p>
          <w:p w14:paraId="5A957181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2、中密度纤维板：符合GB/T 11718-2021标准要求，尺寸偏差、密度及偏差、含水率合格，物理力学性能（静曲强度、弹性模量、内胶合强度、吸水厚度膨胀率、表面胶合强度、防潮性能）合格，其他要求（握螺钉力、表面吸收性能和尺寸稳定性）合格；符合GB/T 35601-2017标准要求，甲醛释放量≤0.05mg/m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，挥发性有机化合物（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72h）苯≤10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、二甲苯≤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TVOC≤100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。</w:t>
            </w:r>
          </w:p>
          <w:p w14:paraId="4729EB37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3、下装带层板，挡板宽600mm；采用三合一连接件等五金件。</w:t>
            </w:r>
          </w:p>
          <w:p w14:paraId="46D06040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4、条桌：依据GB/T 3324-2017，要求主要尺寸及其偏差（桌类主要尺寸、产品外形尺寸偏差）均检测合格，形状和位置公差（翘曲、平整度、邻边垂直度、底脚平稳性）均检测合格，表面理化性能要求（漆膜耐液性、漆膜耐湿热、漆膜耐干热、漆膜附着力、漆膜耐冷热温差、漆膜耐磨性、漆膜抗冲击）均检测合格，力学性能要求（桌类垂直静载荷试验、桌类水平静载荷试验、桌面垂直冲击试验、桌腿跌落试验、桌面水平耐久性试验、桌类垂直加载稳定性试验、桌类垂直和水平加载稳定性试验）均检测合格，木制件甲醛释放量≤0.5mg/L。提供国家认可的第三方检测机构出具的检测报告扫描件。</w:t>
            </w:r>
          </w:p>
        </w:tc>
        <w:tc>
          <w:tcPr>
            <w:tcW w:w="750" w:type="dxa"/>
            <w:noWrap w:val="0"/>
            <w:vAlign w:val="center"/>
          </w:tcPr>
          <w:p w14:paraId="063C2D3B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08A0EC1B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 w14:paraId="0520A53E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0AC0432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5A7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 w14:paraId="14B1E3F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 w14:paraId="0130CDCB">
            <w:pPr>
              <w:pStyle w:val="18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26617B5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367C5D4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3人座</w:t>
            </w:r>
          </w:p>
        </w:tc>
        <w:tc>
          <w:tcPr>
            <w:tcW w:w="8288" w:type="dxa"/>
            <w:noWrap w:val="0"/>
            <w:vAlign w:val="center"/>
          </w:tcPr>
          <w:p w14:paraId="3511BD93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规格：2100*700*750mm；（±5mm）（所列指标为参考尺寸，最终尺寸以供应商实地测量并经采购人确认尺寸为准。）</w:t>
            </w:r>
          </w:p>
          <w:p w14:paraId="072ED18F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1、板材采用中密度纤维板，木皮饰面，环保油漆涂饰；台面不低于32mm，侧脚不低于25mm。</w:t>
            </w:r>
          </w:p>
          <w:p w14:paraId="3C5B5B2D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2、中密度纤维板：符合GB/T 11718-2021标准要求，尺寸偏差、密度及偏差、含水率合格，物理力学性能（静曲强度、弹性模量、内胶合强度、吸水厚度膨胀率、表面胶合强度、防潮性能）合格，其他要求（握螺钉力、表面吸收性能和尺寸稳定性）合格；符合GB/T 35601-2017标准要求，甲醛释放量≤0.05mg/m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，挥发性有机化合物（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72h）苯≤10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、二甲苯≤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TVOC≤100</w:t>
            </w:r>
            <w:r>
              <w:rPr>
                <w:rFonts w:hint="eastAsia" w:ascii="Times New Roman" w:hAnsi="Times New Roman" w:cs="Calibri"/>
                <w:kern w:val="0"/>
                <w:sz w:val="18"/>
                <w:szCs w:val="18"/>
              </w:rPr>
              <w:t>μ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。</w:t>
            </w:r>
          </w:p>
          <w:p w14:paraId="2E20D04F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3、下装带层板，挡板宽600mm；采用三合一连接件等五金件。</w:t>
            </w:r>
          </w:p>
          <w:p w14:paraId="69190D32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4、条桌：依据GB/T 3324-2017，要求主要尺寸及其偏差（桌类主要尺寸、产品外形尺寸偏差）均检测合格，形状和位置公差（翘曲、平整度、邻边垂直度、底脚平稳性）均检测合格，表面理化性能要求（漆膜耐液性、漆膜耐湿热、漆膜耐干热、漆膜附着力、漆膜耐冷热温差、漆膜耐磨性、漆膜抗冲击）均检测合格，力学性能要求（桌类垂直静载荷试验、桌类水平静载荷试验、桌面垂直冲击试验、桌腿跌落试验、桌面水平耐久性试验、桌类垂直加载稳定性试验、桌类垂直和水平加载稳定性试验）均检测合格，木制件甲醛释放量≤0.5mg/L。提供国家认可的第三方检测机构出具的检测报告扫描件。</w:t>
            </w:r>
          </w:p>
        </w:tc>
        <w:tc>
          <w:tcPr>
            <w:tcW w:w="750" w:type="dxa"/>
            <w:noWrap w:val="0"/>
            <w:vAlign w:val="center"/>
          </w:tcPr>
          <w:p w14:paraId="065D1C57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2564A6A7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7" w:type="dxa"/>
            <w:vMerge w:val="continue"/>
            <w:noWrap w:val="0"/>
            <w:vAlign w:val="center"/>
          </w:tcPr>
          <w:p w14:paraId="65CF8554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321689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AB4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5" w:hRule="atLeast"/>
          <w:jc w:val="center"/>
        </w:trPr>
        <w:tc>
          <w:tcPr>
            <w:tcW w:w="493" w:type="dxa"/>
            <w:noWrap w:val="0"/>
            <w:vAlign w:val="center"/>
          </w:tcPr>
          <w:p w14:paraId="0B9B885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BDF8740">
            <w:pPr>
              <w:pStyle w:val="18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会议室</w:t>
            </w:r>
          </w:p>
          <w:p w14:paraId="5C904727">
            <w:pPr>
              <w:pStyle w:val="18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沙发</w:t>
            </w:r>
          </w:p>
        </w:tc>
        <w:tc>
          <w:tcPr>
            <w:tcW w:w="1635" w:type="dxa"/>
            <w:noWrap w:val="0"/>
            <w:vAlign w:val="center"/>
          </w:tcPr>
          <w:p w14:paraId="62BE125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drawing>
                <wp:inline distT="0" distB="0" distL="114300" distR="114300">
                  <wp:extent cx="900430" cy="860425"/>
                  <wp:effectExtent l="0" t="0" r="13970" b="15875"/>
                  <wp:docPr id="9" name="图片 44" descr="b13a65350731314ea23f654f860fc9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4" descr="b13a65350731314ea23f654f860fc90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5A68ECA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8288" w:type="dxa"/>
            <w:noWrap w:val="0"/>
            <w:vAlign w:val="center"/>
          </w:tcPr>
          <w:p w14:paraId="53176522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1、面料：采用绒布饰面，柔软舒适、耐磨耐刮耐高温。绒布：符合GB/T 17591-2006、HJ 2546-2016等相关标准和技术要求，检测内容包括但不限于：重金属总量中铅（Pb）≤90.0mg/kg、镉（Cd）≤100.0mg/kg，邻苯二甲酸酯总量≤0.1％，氯化苯酚（五氯苯酚）≤0.5mg/kg，燃烧性能（损毁长度、续燃时间）、可分解致癌芳香胺染料均检测合格，可萃取的重金属中砷（As）≤1.0mg/kg、铅（Pb）≤1.0mg/kg、铬（Cr）≤2.0mg/kg、钴（Co）≤4.0mg/kg、铜（Cu）≤50.0mg/kg、镍（Ni）≤4.0mg/kg、铬（Cr）Ⅵ不得检出、镉（Cd）≤0.1mg/kg、锑（Sb）≤30.0mg/kg、汞（Hg）≤0.02mg/kg，多环芳烃中苯并（a）芘≤1.0mg/kg、总量≤10.0mg/kg，甲醛含量≤75mg/kg。(投标人提供具有CMA标识的第三方检验检测机构出具的符合以上参数要求的“绒布”检验报告复印件)</w:t>
            </w:r>
          </w:p>
          <w:p w14:paraId="0BC1F46C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2、海绵：采用高密度高回弹海绵，软硬适中。</w:t>
            </w:r>
          </w:p>
          <w:p w14:paraId="4C063A65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3、内部框架：采用烘干刨光木方，无虫蚀，内部衬垫物干燥卫生，高强度蛇形弹簧和高弹力绷带打底。</w:t>
            </w:r>
          </w:p>
          <w:p w14:paraId="21ED3648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4、外部框架：采用实木，表面均经过抛光、砂光处理，成品无毛刺，接缝自然，无明显缺口和缝隙。</w:t>
            </w:r>
          </w:p>
          <w:p w14:paraId="4DC232CA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▲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5、沙发：其中沙发主要尺寸（座前宽、座深、座前高、背高）检测合格，外形对称度（座面对称度、背面对称度、相同扶手对称度允许差值均≤2mm，围边对称度厚差度≤1mm）,用料一致性、木制件用料、加工要求、铺垫料用料、加工要求检测合格，木材含水率8%～11%，泡沫塑料密度（座面≥35k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，其他部位≥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30kg/m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），泡沫塑料回弹性能≥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45%，泡沫塑料压缩永久变形≤5%，防锈处理、摩擦声、面料外观、缝纫和包覆外观、木制件外观、饰面外观（金属件、木制件）、五金件及其配件安装检测合格，纺织面料、皮革、纺织面料耐酸汗渍色牢度、纺织面料耐碱汗渍色牢度均≥4级，皮革涂层粘着牢度≥6N/10mm，沙发座、背及扶手耐久性≥20000次检测合格，背松动量和背剩余松动量检测合格，扶手松动量、扶手剩余松动量均≤5mm，座面压缩量ā≥60mm，压缩量c≤80mm，安全性能、公共场所用软体家具阻燃性能、使用说明检测合格。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18"/>
                <w:szCs w:val="18"/>
              </w:rPr>
              <w:t>（投标人提供满足本条技术参数检测内容要求且具有CMA认证标志的第三方检验检测机构出具的“沙发”检验检测报告复印件并加盖公章）</w:t>
            </w:r>
          </w:p>
        </w:tc>
        <w:tc>
          <w:tcPr>
            <w:tcW w:w="750" w:type="dxa"/>
            <w:noWrap w:val="0"/>
            <w:vAlign w:val="center"/>
          </w:tcPr>
          <w:p w14:paraId="1E9D3C30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70FE0F41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12张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 w14:paraId="4DBFD0C6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43485DED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339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493" w:type="dxa"/>
            <w:noWrap w:val="0"/>
            <w:vAlign w:val="center"/>
          </w:tcPr>
          <w:p w14:paraId="0D1B48A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C75D252">
            <w:pPr>
              <w:pStyle w:val="18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会议室边几</w:t>
            </w:r>
          </w:p>
        </w:tc>
        <w:tc>
          <w:tcPr>
            <w:tcW w:w="1635" w:type="dxa"/>
            <w:noWrap w:val="0"/>
            <w:vAlign w:val="center"/>
          </w:tcPr>
          <w:p w14:paraId="4A4C000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drawing>
                <wp:inline distT="0" distB="0" distL="114300" distR="114300">
                  <wp:extent cx="847725" cy="908050"/>
                  <wp:effectExtent l="0" t="0" r="9525" b="6350"/>
                  <wp:docPr id="1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noWrap w:val="0"/>
            <w:vAlign w:val="center"/>
          </w:tcPr>
          <w:p w14:paraId="00FA995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定制</w:t>
            </w:r>
          </w:p>
          <w:p w14:paraId="26E655F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(与沙发相匹配）</w:t>
            </w:r>
          </w:p>
        </w:tc>
        <w:tc>
          <w:tcPr>
            <w:tcW w:w="8288" w:type="dxa"/>
            <w:noWrap w:val="0"/>
            <w:vAlign w:val="center"/>
          </w:tcPr>
          <w:p w14:paraId="240D44CA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  <w:p w14:paraId="7FCCD7B7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1、基材：采用中密度纤维板。</w:t>
            </w:r>
          </w:p>
          <w:p w14:paraId="7BA181EC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2、中密度纤维板：防潮性能、静曲强度、弹性模量、表面胶合强度、吸水厚度膨胀率均检测合格，甲醛释放量≤0.050mg/m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，挥发性有机化合物（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72h）中苯≤10μg/m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20μg/m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、二甲苯≤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20μg/m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、总挥发性有机化合物（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TVOC）≤100μg/m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³</w:t>
            </w:r>
            <w:r>
              <w:rPr>
                <w:rFonts w:hint="eastAsia" w:ascii="Times New Roman" w:hAnsi="Times New Roman" w:cs="仿宋_GB2312"/>
                <w:kern w:val="0"/>
                <w:sz w:val="18"/>
                <w:szCs w:val="18"/>
              </w:rPr>
              <w:t>。（投标人提供满足本条技术参数检测内容要求且具有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CMA认证标志的第三方检验检测机构出具的“中密度纤维板”检验检测报告复印件并加盖公章）</w:t>
            </w:r>
          </w:p>
          <w:p w14:paraId="3BB32B08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3、贴面：表面采用木皮贴面。</w:t>
            </w:r>
          </w:p>
          <w:p w14:paraId="68DD05C1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4、部件厚度：台面30mm。</w:t>
            </w:r>
          </w:p>
          <w:p w14:paraId="3BF9844A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5、油漆：采用环保水性漆喷涂。</w:t>
            </w:r>
          </w:p>
          <w:p w14:paraId="5B4D31CF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6、结构：单层结构；实木脚柱。</w:t>
            </w:r>
          </w:p>
          <w:p w14:paraId="77D58638">
            <w:pPr>
              <w:ind w:firstLine="360" w:firstLineChars="200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7、三合一连接件：三合一偏心连接件中偏心体与连接螺杆的扭矩≥7.0N·m，锁紧角度检测合格，三合一偏心连接件偏心体抗压强度≥240N，三合一偏心连接件中连接螺杆螺纹与预埋螺母的抗拉强度≥700N，中性盐雾（NSS）、乙酸盐雾（AASS）、铜加速乙酸盐雾（CASS）试验保护评级（R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ᴘ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）和外观评级（R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ᴀ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）均达到10级。</w:t>
            </w:r>
          </w:p>
          <w:p w14:paraId="3492AE8E"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17A12F0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noWrap w:val="0"/>
            <w:vAlign w:val="center"/>
          </w:tcPr>
          <w:p w14:paraId="7BFC1703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8张</w:t>
            </w:r>
          </w:p>
        </w:tc>
        <w:tc>
          <w:tcPr>
            <w:tcW w:w="787" w:type="dxa"/>
            <w:vMerge w:val="continue"/>
            <w:noWrap w:val="0"/>
            <w:vAlign w:val="center"/>
          </w:tcPr>
          <w:p w14:paraId="3F4946CC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3F9B14D">
            <w:pPr>
              <w:autoSpaceDE w:val="0"/>
              <w:autoSpaceDN w:val="0"/>
              <w:adjustRightIn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D35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4005" w:type="dxa"/>
            <w:gridSpan w:val="4"/>
            <w:noWrap w:val="0"/>
            <w:vAlign w:val="center"/>
          </w:tcPr>
          <w:p w14:paraId="0E8A7B4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最终报价</w:t>
            </w:r>
          </w:p>
        </w:tc>
        <w:tc>
          <w:tcPr>
            <w:tcW w:w="11269" w:type="dxa"/>
            <w:gridSpan w:val="5"/>
            <w:noWrap w:val="0"/>
            <w:vAlign w:val="center"/>
          </w:tcPr>
          <w:p w14:paraId="474FD9D6">
            <w:pPr>
              <w:autoSpaceDE w:val="0"/>
              <w:autoSpaceDN w:val="0"/>
              <w:adjustRightInd w:val="0"/>
              <w:ind w:firstLine="2160" w:firstLineChars="120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微软雅黑"/>
                <w:color w:val="000000"/>
                <w:kern w:val="0"/>
                <w:sz w:val="18"/>
                <w:szCs w:val="18"/>
              </w:rPr>
              <w:t>（大写）                                                （小写）</w:t>
            </w:r>
          </w:p>
        </w:tc>
      </w:tr>
    </w:tbl>
    <w:p w14:paraId="64AAB7DC">
      <w:pPr>
        <w:spacing w:line="400" w:lineRule="exact"/>
        <w:rPr>
          <w:rFonts w:hint="eastAsia"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  <w:lang w:eastAsia="zh-CN"/>
        </w:rPr>
        <w:t>备注：</w:t>
      </w:r>
      <w:r>
        <w:rPr>
          <w:rFonts w:hint="eastAsia" w:ascii="Times New Roman" w:hAnsi="Times New Roman"/>
          <w:bCs/>
          <w:sz w:val="21"/>
          <w:szCs w:val="21"/>
        </w:rPr>
        <w:t>技术参数前带“</w:t>
      </w:r>
      <w:r>
        <w:rPr>
          <w:rFonts w:hint="eastAsia" w:ascii="Times New Roman" w:hAnsi="Times New Roman" w:cs="微软雅黑"/>
          <w:color w:val="000000"/>
          <w:kern w:val="0"/>
          <w:sz w:val="18"/>
          <w:szCs w:val="18"/>
        </w:rPr>
        <w:t>▲</w:t>
      </w:r>
      <w:r>
        <w:rPr>
          <w:rFonts w:hint="eastAsia" w:ascii="Times New Roman" w:hAnsi="Times New Roman"/>
          <w:bCs/>
          <w:sz w:val="21"/>
          <w:szCs w:val="21"/>
        </w:rPr>
        <w:t>”号项为</w:t>
      </w:r>
      <w:r>
        <w:rPr>
          <w:rFonts w:hint="eastAsia" w:ascii="Times New Roman" w:hAnsi="Times New Roman"/>
          <w:bCs/>
          <w:sz w:val="21"/>
          <w:szCs w:val="21"/>
          <w:lang w:eastAsia="zh-CN"/>
        </w:rPr>
        <w:t>关键性指标</w:t>
      </w:r>
      <w:r>
        <w:rPr>
          <w:rFonts w:hint="eastAsia" w:ascii="Times New Roman" w:hAnsi="Times New Roman"/>
          <w:bCs/>
          <w:sz w:val="21"/>
          <w:szCs w:val="21"/>
        </w:rPr>
        <w:t>。</w:t>
      </w:r>
    </w:p>
    <w:p w14:paraId="24547FCB">
      <w:pPr>
        <w:spacing w:line="400" w:lineRule="exact"/>
        <w:ind w:right="1440" w:rightChars="450" w:firstLine="420" w:firstLineChars="200"/>
        <w:jc w:val="right"/>
        <w:rPr>
          <w:rFonts w:hint="eastAsia" w:ascii="Times New Roman" w:hAnsi="Times New Roman"/>
          <w:bCs/>
          <w:sz w:val="21"/>
          <w:szCs w:val="21"/>
        </w:rPr>
      </w:pPr>
    </w:p>
    <w:p w14:paraId="2C16B967">
      <w:pPr>
        <w:spacing w:line="400" w:lineRule="exact"/>
        <w:ind w:right="1440" w:rightChars="450" w:firstLine="420" w:firstLineChars="200"/>
        <w:jc w:val="right"/>
        <w:rPr>
          <w:rFonts w:hint="eastAsia" w:ascii="Times New Roman" w:hAnsi="Times New Roman"/>
          <w:bCs/>
          <w:sz w:val="21"/>
          <w:szCs w:val="21"/>
        </w:rPr>
      </w:pPr>
    </w:p>
    <w:p w14:paraId="140B500D">
      <w:pPr>
        <w:spacing w:line="400" w:lineRule="exact"/>
        <w:ind w:right="1440" w:rightChars="450" w:firstLine="420" w:firstLineChars="200"/>
        <w:jc w:val="righ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报价人：（单位全称） 盖章</w:t>
      </w:r>
    </w:p>
    <w:p w14:paraId="44687EC8">
      <w:pPr>
        <w:wordWrap w:val="0"/>
        <w:spacing w:line="400" w:lineRule="exact"/>
        <w:ind w:right="1440" w:rightChars="450" w:firstLine="525" w:firstLineChars="250"/>
        <w:jc w:val="right"/>
        <w:rPr>
          <w:rFonts w:hint="eastAsia" w:ascii="Times New Roman" w:hAnsi="Times New Roman"/>
          <w:sz w:val="18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531" w:right="1531" w:bottom="1531" w:left="1531" w:header="1134" w:footer="1247" w:gutter="0"/>
          <w:cols w:space="720" w:num="1"/>
          <w:docGrid w:linePitch="435" w:charSpace="0"/>
        </w:sectPr>
      </w:pPr>
      <w:r>
        <w:rPr>
          <w:rFonts w:hint="eastAsia" w:ascii="Times New Roman" w:hAnsi="Times New Roman"/>
          <w:sz w:val="21"/>
          <w:szCs w:val="21"/>
        </w:rPr>
        <w:t xml:space="preserve">2025年9月  日   </w:t>
      </w:r>
    </w:p>
    <w:p w14:paraId="0A7121E0">
      <w:pPr>
        <w:spacing w:line="600" w:lineRule="exact"/>
        <w:rPr>
          <w:rFonts w:hint="default" w:ascii="Times New Roman" w:hAnsi="Times New Roman" w:eastAsia="仿宋_GB2312" w:cs="方正仿宋_GBK"/>
          <w:color w:val="000000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9563B">
    <w:pPr>
      <w:pStyle w:val="5"/>
      <w:framePr w:wrap="around" w:vAnchor="text" w:hAnchor="margin" w:xAlign="outside" w:y="1"/>
      <w:ind w:right="320" w:rightChars="1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74D84A56">
    <w:pPr>
      <w:pStyle w:val="5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9CF92">
    <w:pPr>
      <w:pStyle w:val="5"/>
      <w:framePr w:wrap="around" w:vAnchor="text" w:hAnchor="margin" w:xAlign="outside" w:y="1"/>
      <w:ind w:left="320" w:leftChars="1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6265F006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4F36">
    <w:pPr>
      <w:pStyle w:val="5"/>
      <w:framePr w:wrap="around" w:vAnchor="text" w:hAnchor="margin" w:xAlign="outside" w:y="1"/>
      <w:ind w:right="320" w:rightChars="1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13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79C9C5B7">
    <w:pPr>
      <w:pStyle w:val="5"/>
      <w:ind w:right="567" w:firstLine="35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AE56C">
    <w:pPr>
      <w:pStyle w:val="5"/>
      <w:framePr w:wrap="around" w:vAnchor="text" w:hAnchor="margin" w:xAlign="outside" w:y="1"/>
      <w:ind w:left="320" w:leftChars="1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12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7040EBA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  <w:docVar w:name="KGWebUrl" w:val="https://edoas.scedu.net:443/seeyon/officeservlet"/>
  </w:docVars>
  <w:rsids>
    <w:rsidRoot w:val="002A0F1C"/>
    <w:rsid w:val="00004DD8"/>
    <w:rsid w:val="00034D4D"/>
    <w:rsid w:val="00040293"/>
    <w:rsid w:val="00090A73"/>
    <w:rsid w:val="000C28BE"/>
    <w:rsid w:val="00157C18"/>
    <w:rsid w:val="001F3A04"/>
    <w:rsid w:val="00205005"/>
    <w:rsid w:val="002335AD"/>
    <w:rsid w:val="00284BD7"/>
    <w:rsid w:val="002A0F1C"/>
    <w:rsid w:val="00337669"/>
    <w:rsid w:val="004555BF"/>
    <w:rsid w:val="004F213B"/>
    <w:rsid w:val="00515CE5"/>
    <w:rsid w:val="0053668D"/>
    <w:rsid w:val="005424A4"/>
    <w:rsid w:val="005714F0"/>
    <w:rsid w:val="005D4967"/>
    <w:rsid w:val="005E33F5"/>
    <w:rsid w:val="0067751F"/>
    <w:rsid w:val="00680A1E"/>
    <w:rsid w:val="006959D2"/>
    <w:rsid w:val="006F5047"/>
    <w:rsid w:val="00703426"/>
    <w:rsid w:val="00712E58"/>
    <w:rsid w:val="00721110"/>
    <w:rsid w:val="007501B5"/>
    <w:rsid w:val="00771E8F"/>
    <w:rsid w:val="00775A71"/>
    <w:rsid w:val="00780D92"/>
    <w:rsid w:val="007C6CBF"/>
    <w:rsid w:val="008163B4"/>
    <w:rsid w:val="00860C52"/>
    <w:rsid w:val="00875214"/>
    <w:rsid w:val="008B73AC"/>
    <w:rsid w:val="009054D1"/>
    <w:rsid w:val="00930E55"/>
    <w:rsid w:val="00935060"/>
    <w:rsid w:val="00943167"/>
    <w:rsid w:val="009B2B9A"/>
    <w:rsid w:val="009B63A0"/>
    <w:rsid w:val="009C6222"/>
    <w:rsid w:val="00A26C5C"/>
    <w:rsid w:val="00AA0141"/>
    <w:rsid w:val="00AC293F"/>
    <w:rsid w:val="00AD7F95"/>
    <w:rsid w:val="00AE14D9"/>
    <w:rsid w:val="00B74690"/>
    <w:rsid w:val="00BC3CAC"/>
    <w:rsid w:val="00C33364"/>
    <w:rsid w:val="00C42718"/>
    <w:rsid w:val="00CB3C77"/>
    <w:rsid w:val="00DC3013"/>
    <w:rsid w:val="00DD061D"/>
    <w:rsid w:val="00DD7864"/>
    <w:rsid w:val="00DF365F"/>
    <w:rsid w:val="00E97542"/>
    <w:rsid w:val="00EF6FB5"/>
    <w:rsid w:val="00FC13EA"/>
    <w:rsid w:val="00FC68C1"/>
    <w:rsid w:val="073D20BB"/>
    <w:rsid w:val="07E877DD"/>
    <w:rsid w:val="097D1872"/>
    <w:rsid w:val="0C4C3659"/>
    <w:rsid w:val="0FE101FA"/>
    <w:rsid w:val="15055C4F"/>
    <w:rsid w:val="1D44763F"/>
    <w:rsid w:val="1DEF3491"/>
    <w:rsid w:val="2DB7C84F"/>
    <w:rsid w:val="2ECFA74F"/>
    <w:rsid w:val="35FF3D1C"/>
    <w:rsid w:val="394D2813"/>
    <w:rsid w:val="3AFD8D0F"/>
    <w:rsid w:val="3DEF9B3A"/>
    <w:rsid w:val="3DF613C2"/>
    <w:rsid w:val="3F9B74BE"/>
    <w:rsid w:val="3FFF2A54"/>
    <w:rsid w:val="43C729CB"/>
    <w:rsid w:val="45F717B1"/>
    <w:rsid w:val="4BFF1C78"/>
    <w:rsid w:val="4DD985C1"/>
    <w:rsid w:val="51D75253"/>
    <w:rsid w:val="57D7A0AC"/>
    <w:rsid w:val="593BEA63"/>
    <w:rsid w:val="5BF1631E"/>
    <w:rsid w:val="5E914A55"/>
    <w:rsid w:val="5FBF2EED"/>
    <w:rsid w:val="67ED6607"/>
    <w:rsid w:val="698D727D"/>
    <w:rsid w:val="71386CCF"/>
    <w:rsid w:val="72501A7B"/>
    <w:rsid w:val="74DFD1B1"/>
    <w:rsid w:val="76EF4D25"/>
    <w:rsid w:val="77DEE3F7"/>
    <w:rsid w:val="77FB90BD"/>
    <w:rsid w:val="77FF91D9"/>
    <w:rsid w:val="797F9CAE"/>
    <w:rsid w:val="7CF702F3"/>
    <w:rsid w:val="7D5E2433"/>
    <w:rsid w:val="7DBFE83D"/>
    <w:rsid w:val="7DFF8CA1"/>
    <w:rsid w:val="7EDD3364"/>
    <w:rsid w:val="7FEFBE98"/>
    <w:rsid w:val="97DDF560"/>
    <w:rsid w:val="9DFFF7FD"/>
    <w:rsid w:val="ADB35AF2"/>
    <w:rsid w:val="AFA3E9A6"/>
    <w:rsid w:val="BBDCA1EE"/>
    <w:rsid w:val="BDEE8432"/>
    <w:rsid w:val="BE7F920C"/>
    <w:rsid w:val="BF9F8E87"/>
    <w:rsid w:val="C6BF3FC8"/>
    <w:rsid w:val="D75EC128"/>
    <w:rsid w:val="DFF796E6"/>
    <w:rsid w:val="DFFC9893"/>
    <w:rsid w:val="EF5BD10E"/>
    <w:rsid w:val="F3DF6EB2"/>
    <w:rsid w:val="F5FD0D33"/>
    <w:rsid w:val="F72578DE"/>
    <w:rsid w:val="FBA93C06"/>
    <w:rsid w:val="FCA784C6"/>
    <w:rsid w:val="FDFFC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unhideWhenUsed/>
    <w:qFormat/>
    <w:uiPriority w:val="99"/>
    <w:pPr>
      <w:ind w:firstLine="640" w:firstLineChars="200"/>
    </w:pPr>
    <w:rPr>
      <w:rFonts w:eastAsia="宋体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nhideWhenUsed/>
    <w:qFormat/>
    <w:uiPriority w:val="99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link w:val="4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5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6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17">
    <w:name w:val="脚注文本 Char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正文2"/>
    <w:basedOn w:val="1"/>
    <w:next w:val="1"/>
    <w:qFormat/>
    <w:uiPriority w:val="0"/>
    <w:rPr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1847</Words>
  <Characters>10528</Characters>
  <Lines>87</Lines>
  <Paragraphs>24</Paragraphs>
  <TotalTime>20</TotalTime>
  <ScaleCrop>false</ScaleCrop>
  <LinksUpToDate>false</LinksUpToDate>
  <CharactersWithSpaces>12351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2025-08-31T08:42:00Z</dcterms:created>
  <dc:creator>王玉春</dc:creator>
  <cp:lastModifiedBy>huawei</cp:lastModifiedBy>
  <cp:lastPrinted>2025-08-02T09:06:00Z</cp:lastPrinted>
  <dcterms:modified xsi:type="dcterms:W3CDTF">2025-09-15T16:38:04Z</dcterms:modified>
  <dc:title>关于采购机关办公家具的请示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FBE6E0288A764477AA5AC4FF41E96F13_13</vt:lpwstr>
  </property>
  <property fmtid="{D5CDD505-2E9C-101B-9397-08002B2CF9AE}" pid="4" name="KSOTemplateDocerSaveRecord">
    <vt:lpwstr>eyJoZGlkIjoiYmQ5NDgyZmUzNzAzODRkZWRjNWUxYWEyYWEzMTkwODciLCJ1c2VySWQiOiIxMDA3ODExMjc4In0=</vt:lpwstr>
  </property>
</Properties>
</file>