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报价表</w:t>
      </w:r>
    </w:p>
    <w:bookmarkEnd w:id="0"/>
    <w:tbl>
      <w:tblPr>
        <w:tblStyle w:val="3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97"/>
        <w:gridCol w:w="2639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统一下浮率（%）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教育厅机关工会“职工之家”项目设计服务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228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实际结算金额不超过24500元</w:t>
            </w:r>
          </w:p>
        </w:tc>
      </w:tr>
    </w:tbl>
    <w:p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注: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highlight w:val="none"/>
        </w:rPr>
        <w:t xml:space="preserve"> </w:t>
      </w:r>
    </w:p>
    <w:p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1、参照《国家计委、建设部关于发布〈工程勘察设计收费管理规定〉的通知》（计价格[2002]10号）规定的《工程设计收费标准》计算的工程设计收费标准的进行下浮报价。</w:t>
      </w:r>
    </w:p>
    <w:p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2、本项目采用统一下浮报价，报价下浮比例幅度须在0%­100%之间，且应按百分比取整，即只能是0％、1％、2％、3％……98%、99%、100%。</w:t>
      </w:r>
    </w:p>
    <w:p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3、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</w:rPr>
        <w:t>按本报价计算出来的结算价格，是履行合同所需的人工、保险、代理、培训、税费等所有费用。</w:t>
      </w:r>
    </w:p>
    <w:p>
      <w:pPr>
        <w:widowControl w:val="0"/>
        <w:spacing w:after="120" w:line="600" w:lineRule="exact"/>
        <w:ind w:firstLine="42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</w:rPr>
        <w:t>参选单位（公章）:</w:t>
      </w:r>
    </w:p>
    <w:p>
      <w:pPr>
        <w:widowControl w:val="0"/>
        <w:spacing w:after="120" w:line="600" w:lineRule="exact"/>
        <w:ind w:firstLine="42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>
      <w:pPr>
        <w:spacing w:line="440" w:lineRule="exact"/>
        <w:ind w:firstLine="600" w:firstLineChars="200"/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</w:rPr>
        <w:t>授权代表（签名或盖章）</w:t>
      </w: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∶</w:t>
      </w:r>
    </w:p>
    <w:p>
      <w:pPr>
        <w:widowControl w:val="0"/>
        <w:spacing w:after="120" w:line="600" w:lineRule="exact"/>
        <w:ind w:firstLine="42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</w:rPr>
        <w:t>日    期:</w:t>
      </w: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D82B421-D20C-401D-AA73-52A1B5E26EC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F98A779-5CDD-4AD7-8B5A-CB58E27FBB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9FD200-1604-426B-A064-C0BC46C57A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C7B448-E391-4F62-BE19-3D8430210E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B4D90"/>
    <w:rsid w:val="148B4D90"/>
    <w:rsid w:val="450D6304"/>
    <w:rsid w:val="BFEEF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2025-09-19T00:34:00Z</dcterms:created>
  <dc:creator>user</dc:creator>
  <cp:lastModifiedBy>Colamilkshake</cp:lastModifiedBy>
  <dcterms:modified xsi:type="dcterms:W3CDTF">2025-09-26T07:01:20Z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E2904AA1BC964758B44B31A23C78AC73_13</vt:lpwstr>
  </property>
</Properties>
</file>