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bookmarkStart w:id="65" w:name="_GoBack"/>
      <w:bookmarkEnd w:id="65"/>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1" w:name="_Toc15377193"/>
      <w:bookmarkStart w:id="2" w:name="_Toc15396597"/>
      <w:bookmarkStart w:id="3" w:name="_Toc15396475"/>
      <w:bookmarkStart w:id="4" w:name="_Toc15378441"/>
      <w:bookmarkStart w:id="5" w:name="_Toc15377425"/>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21</w:t>
      </w:r>
      <w:r>
        <w:rPr>
          <w:rFonts w:hint="eastAsia" w:ascii="方正小标宋简体" w:hAnsi="方正小标宋简体" w:eastAsia="方正小标宋简体" w:cs="方正小标宋简体"/>
          <w:color w:val="auto"/>
          <w:sz w:val="52"/>
          <w:szCs w:val="5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lang w:eastAsia="zh-CN"/>
        </w:rPr>
      </w:pPr>
      <w:bookmarkStart w:id="6" w:name="_Toc15377194"/>
      <w:bookmarkStart w:id="7" w:name="_Toc15396476"/>
      <w:bookmarkStart w:id="8" w:name="_Toc15377426"/>
      <w:bookmarkStart w:id="9" w:name="_Toc15378442"/>
      <w:bookmarkStart w:id="10" w:name="_Toc15396598"/>
      <w:r>
        <w:rPr>
          <w:rFonts w:hint="eastAsia" w:ascii="方正小标宋简体" w:hAnsi="方正小标宋简体" w:eastAsia="方正小标宋简体" w:cs="方正小标宋简体"/>
          <w:color w:val="auto"/>
          <w:sz w:val="52"/>
          <w:szCs w:val="52"/>
          <w:highlight w:val="none"/>
        </w:rPr>
        <w:t>四川省</w:t>
      </w:r>
      <w:bookmarkEnd w:id="0"/>
      <w:bookmarkStart w:id="11" w:name="_Toc15306268"/>
      <w:r>
        <w:rPr>
          <w:rFonts w:hint="eastAsia" w:ascii="方正小标宋简体" w:hAnsi="方正小标宋简体" w:eastAsia="方正小标宋简体" w:cs="方正小标宋简体"/>
          <w:color w:val="auto"/>
          <w:sz w:val="52"/>
          <w:szCs w:val="52"/>
          <w:highlight w:val="none"/>
          <w:lang w:eastAsia="zh-CN"/>
        </w:rPr>
        <w:t>教师发展中心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lang w:eastAsia="zh-CN"/>
        </w:rPr>
      </w:pPr>
      <w:r>
        <w:rPr>
          <w:rFonts w:hint="eastAsia" w:ascii="方正小标宋简体" w:hAnsi="方正小标宋简体" w:eastAsia="方正小标宋简体" w:cs="方正小标宋简体"/>
          <w:color w:val="auto"/>
          <w:sz w:val="52"/>
          <w:szCs w:val="52"/>
          <w:highlight w:val="none"/>
          <w:lang w:eastAsia="zh-CN"/>
        </w:rPr>
        <w:t>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r>
        <w:rPr>
          <w:rFonts w:hint="eastAsia" w:ascii="方正小标宋简体" w:hAnsi="方正小标宋简体" w:eastAsia="方正小标宋简体" w:cs="方正小标宋简体"/>
          <w:color w:val="auto"/>
          <w:sz w:val="52"/>
          <w:szCs w:val="52"/>
          <w:highlight w:val="none"/>
          <w:lang w:eastAsia="zh-CN"/>
        </w:rPr>
        <w:t>编制说明</w:t>
      </w: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 xml:space="preserve">------------------------------5  </w:t>
      </w:r>
    </w:p>
    <w:p>
      <w:pPr>
        <w:pStyle w:val="11"/>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三、内设机构设置----------------------------------------11          </w:t>
      </w:r>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--------------------------12</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------------------------------------------12</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------------------------------------------------------12</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------------------------------------------------------13</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------------------------------14</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------------------------14</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--------------------------18</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---------------------------------19</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------------------------------19</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val="en-US" w:eastAsia="zh-CN"/>
        </w:rPr>
        <w:t>---------------------------------------------19</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-------------------------------------------21</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-----------------------------------------------23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-----------------------------------------------24</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ind w:left="630" w:leftChars="0" w:firstLineChars="0"/>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四川省教师发展中心是根据川编办发（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55号文，由四川省普通话水平测试中心更名而成，</w:t>
      </w:r>
      <w:r>
        <w:rPr>
          <w:rFonts w:hint="eastAsia" w:ascii="仿宋_GB2312" w:hAnsi="仿宋_GB2312" w:eastAsia="仿宋_GB2312" w:cs="仿宋_GB2312"/>
          <w:sz w:val="32"/>
          <w:szCs w:val="32"/>
        </w:rPr>
        <w:t>主要职责是：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（一）为机关提供支撑保障的职能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1.贯彻执行国家和省相关法规政策标准；承担全省教师发展的理论、政策、标准研究工作。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2.参与拟订全省教师和中小学校长培训规划和配套政策；参与拟订全省语言文字工作中长期发展规划和管理办法。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3.承担全省优秀（骨干）教师、中小学校长评选的事务性工作；承担全省教师资格制度实施、职称评审、教师交流补充等事务性工作。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4.参与全省语言文字评估、检查的事务性工作。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（二）面向社会提供公益服务的职能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1.开展全省教师和中小学校长培训服务工作。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2.开展全省教师资格认定政策咨询和宣传服务工作。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3.参与全省普通话推广普及，开展师资培训和水平测试工作; 参与中华经典诵读工程相关活动。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（三）完成四川省教育厅交办的其他任务</w:t>
      </w:r>
    </w:p>
    <w:p>
      <w:pPr>
        <w:numPr>
          <w:ilvl w:val="0"/>
          <w:numId w:val="0"/>
        </w:numPr>
        <w:rPr>
          <w:rFonts w:hint="eastAsia" w:ascii="仿宋_GB2312" w:hAnsi="仿宋_GB2312" w:eastAsia="仿宋_GB2312" w:cs="仿宋_GB2312"/>
          <w:sz w:val="32"/>
          <w:szCs w:val="32"/>
          <w:lang w:val="en-US" w:eastAsia="zh-CN"/>
        </w:rPr>
      </w:pP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4"/>
        <w:numPr>
          <w:ilvl w:val="0"/>
          <w:numId w:val="0"/>
        </w:num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黑体" w:hAnsi="黑体" w:eastAsia="黑体"/>
          <w:b w:val="0"/>
          <w:color w:val="auto"/>
          <w:highlight w:val="none"/>
          <w:lang w:eastAsia="zh-CN"/>
        </w:rPr>
        <w:t>（一）</w:t>
      </w:r>
      <w:r>
        <w:rPr>
          <w:rFonts w:hint="eastAsia" w:ascii="楷体_GB2312" w:hAnsi="楷体" w:eastAsia="楷体_GB2312" w:cs="Times New Roman"/>
          <w:b/>
          <w:color w:val="000000" w:themeColor="text1"/>
          <w:sz w:val="32"/>
          <w:szCs w:val="32"/>
          <w14:textFill>
            <w14:solidFill>
              <w14:schemeClr w14:val="tx1"/>
            </w14:solidFill>
          </w14:textFill>
        </w:rPr>
        <w:t>严格程序标准，把牢教师准入第一关</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一是加强对各级认定机构的指导，推进教师资格定期注册改革试点</w:t>
      </w:r>
      <w:r>
        <w:rPr>
          <w:rFonts w:hint="eastAsia" w:ascii="仿宋_GB2312" w:hAnsi="仿宋" w:eastAsia="仿宋_GB2312" w:cs="Times New Roman"/>
          <w:color w:val="000000" w:themeColor="text1"/>
          <w:sz w:val="32"/>
          <w:szCs w:val="32"/>
          <w14:textFill>
            <w14:solidFill>
              <w14:schemeClr w14:val="tx1"/>
            </w14:solidFill>
          </w14:textFill>
        </w:rPr>
        <w:t>。教师资格定期注册是我省教师资格制度改革的重要举措，2014年以来，已有70多万名教师进行了首次注册，今年是五年期满的第2次注册，已完成中小学教师定期注册</w:t>
      </w:r>
      <w:r>
        <w:rPr>
          <w:rFonts w:hint="eastAsia" w:ascii="仿宋_GB2312" w:hAnsi="仿宋" w:eastAsia="仿宋_GB2312" w:cs="Times New Roman"/>
          <w:color w:val="000000" w:themeColor="text1"/>
          <w:sz w:val="32"/>
          <w:szCs w:val="32"/>
          <w:lang w:eastAsia="zh-CN"/>
          <w14:textFill>
            <w14:solidFill>
              <w14:schemeClr w14:val="tx1"/>
            </w14:solidFill>
          </w14:textFill>
        </w:rPr>
        <w:t>合格</w:t>
      </w:r>
      <w:r>
        <w:rPr>
          <w:rFonts w:hint="eastAsia" w:ascii="仿宋_GB2312" w:hAnsi="仿宋" w:eastAsia="仿宋_GB2312" w:cs="Times New Roman"/>
          <w:color w:val="000000" w:themeColor="text1"/>
          <w:sz w:val="32"/>
          <w:szCs w:val="32"/>
          <w:lang w:val="en-US" w:eastAsia="zh-CN"/>
          <w14:textFill>
            <w14:solidFill>
              <w14:schemeClr w14:val="tx1"/>
            </w14:solidFill>
          </w14:textFill>
        </w:rPr>
        <w:t>39.9</w:t>
      </w:r>
      <w:r>
        <w:rPr>
          <w:rFonts w:hint="eastAsia" w:ascii="仿宋_GB2312" w:hAnsi="仿宋" w:eastAsia="仿宋_GB2312" w:cs="Times New Roman"/>
          <w:color w:val="000000" w:themeColor="text1"/>
          <w:sz w:val="32"/>
          <w:szCs w:val="32"/>
          <w14:textFill>
            <w14:solidFill>
              <w14:schemeClr w14:val="tx1"/>
            </w14:solidFill>
          </w14:textFill>
        </w:rPr>
        <w:t>万</w:t>
      </w:r>
      <w:r>
        <w:rPr>
          <w:rFonts w:hint="eastAsia" w:ascii="仿宋_GB2312" w:hAnsi="仿宋" w:eastAsia="仿宋_GB2312" w:cs="Times New Roman"/>
          <w:color w:val="000000" w:themeColor="text1"/>
          <w:sz w:val="32"/>
          <w:szCs w:val="32"/>
          <w:lang w:eastAsia="zh-CN"/>
          <w14:textFill>
            <w14:solidFill>
              <w14:schemeClr w14:val="tx1"/>
            </w14:solidFill>
          </w14:textFill>
        </w:rPr>
        <w:t>人</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二是开展</w:t>
      </w:r>
      <w:r>
        <w:rPr>
          <w:rFonts w:hint="eastAsia" w:ascii="仿宋_GB2312" w:hAnsi="仿宋" w:eastAsia="仿宋_GB2312" w:cs="Times New Roman"/>
          <w:b/>
          <w:bCs/>
          <w:color w:val="000000" w:themeColor="text1"/>
          <w:sz w:val="32"/>
          <w:szCs w:val="32"/>
          <w14:textFill>
            <w14:solidFill>
              <w14:schemeClr w14:val="tx1"/>
            </w14:solidFill>
          </w14:textFill>
        </w:rPr>
        <w:t>教育类研究生、公费师范生免试认定。</w:t>
      </w:r>
      <w:r>
        <w:rPr>
          <w:rFonts w:hint="eastAsia" w:ascii="仿宋_GB2312" w:hAnsi="仿宋" w:eastAsia="仿宋_GB2312" w:cs="Times New Roman"/>
          <w:color w:val="000000" w:themeColor="text1"/>
          <w:sz w:val="32"/>
          <w:szCs w:val="32"/>
          <w14:textFill>
            <w14:solidFill>
              <w14:schemeClr w14:val="tx1"/>
            </w14:solidFill>
          </w14:textFill>
        </w:rPr>
        <w:t>启动实施有关高校参加教育部免试认定改革，明确了我省免试认定改革工作要求，审核高校免试认定方案。共组织7所学校实施教育类硕士免试认定改革、11所高校实施公费师范生免试认定改革、3所高校同时实施教育类硕士和公费师范生免试认定改革并参加一轮免试认定，经审核和数据信息更正后共通过审核1747人；配合教育部教师资格认定中心完成了我省教育类研究生和公费师范生免试认定中小学教师资格改革实施情况调研工作，为下一步免试认定改革工作打下了坚实基础。</w:t>
      </w:r>
      <w:r>
        <w:rPr>
          <w:rFonts w:hint="eastAsia" w:ascii="仿宋_GB2312" w:hAnsi="仿宋" w:eastAsia="仿宋_GB2312" w:cs="Times New Roman"/>
          <w:b/>
          <w:color w:val="000000" w:themeColor="text1"/>
          <w:sz w:val="32"/>
          <w:szCs w:val="32"/>
          <w14:textFill>
            <w14:solidFill>
              <w14:schemeClr w14:val="tx1"/>
            </w14:solidFill>
          </w14:textFill>
        </w:rPr>
        <w:t>三是扎实</w:t>
      </w:r>
      <w:r>
        <w:rPr>
          <w:rFonts w:hint="eastAsia" w:ascii="仿宋_GB2312" w:hAnsi="仿宋" w:eastAsia="仿宋_GB2312" w:cs="Times New Roman"/>
          <w:b/>
          <w:bCs/>
          <w:color w:val="000000" w:themeColor="text1"/>
          <w:sz w:val="32"/>
          <w:szCs w:val="32"/>
          <w14:textFill>
            <w14:solidFill>
              <w14:schemeClr w14:val="tx1"/>
            </w14:solidFill>
          </w14:textFill>
        </w:rPr>
        <w:t>开展年度教师资格认定。</w:t>
      </w:r>
      <w:r>
        <w:rPr>
          <w:rFonts w:hint="eastAsia" w:ascii="仿宋_GB2312" w:hAnsi="仿宋" w:eastAsia="仿宋_GB2312" w:cs="Times New Roman"/>
          <w:color w:val="000000" w:themeColor="text1"/>
          <w:sz w:val="32"/>
          <w:szCs w:val="32"/>
          <w14:textFill>
            <w14:solidFill>
              <w14:schemeClr w14:val="tx1"/>
            </w14:solidFill>
          </w14:textFill>
        </w:rPr>
        <w:t>目前，已认定审核各类教师资格申请材料12万余份，通过各类教师资格认定9.69万名，其中：省级直接认定高等学校教师资格8548名。</w:t>
      </w:r>
      <w:r>
        <w:rPr>
          <w:rFonts w:hint="eastAsia" w:ascii="仿宋_GB2312" w:hAnsi="仿宋" w:eastAsia="仿宋_GB2312" w:cs="Times New Roman"/>
          <w:b/>
          <w:color w:val="000000" w:themeColor="text1"/>
          <w:sz w:val="32"/>
          <w:szCs w:val="32"/>
          <w14:textFill>
            <w14:solidFill>
              <w14:schemeClr w14:val="tx1"/>
            </w14:solidFill>
          </w14:textFill>
        </w:rPr>
        <w:t>四是</w:t>
      </w:r>
      <w:r>
        <w:rPr>
          <w:rFonts w:hint="eastAsia" w:ascii="仿宋_GB2312" w:hAnsi="仿宋" w:eastAsia="仿宋_GB2312" w:cs="Times New Roman"/>
          <w:b/>
          <w:bCs/>
          <w:color w:val="000000" w:themeColor="text1"/>
          <w:sz w:val="32"/>
          <w:szCs w:val="32"/>
          <w14:textFill>
            <w14:solidFill>
              <w14:schemeClr w14:val="tx1"/>
            </w14:solidFill>
          </w14:textFill>
        </w:rPr>
        <w:t>加强信息系统管理。</w:t>
      </w:r>
      <w:r>
        <w:rPr>
          <w:rFonts w:hint="eastAsia" w:ascii="仿宋_GB2312" w:hAnsi="仿宋" w:eastAsia="仿宋_GB2312" w:cs="Times New Roman"/>
          <w:bCs/>
          <w:color w:val="000000" w:themeColor="text1"/>
          <w:sz w:val="32"/>
          <w:szCs w:val="32"/>
          <w14:textFill>
            <w14:solidFill>
              <w14:schemeClr w14:val="tx1"/>
            </w14:solidFill>
          </w14:textFill>
        </w:rPr>
        <w:t>由专人负责</w:t>
      </w:r>
      <w:r>
        <w:rPr>
          <w:rFonts w:hint="eastAsia" w:ascii="宋体" w:hAnsi="宋体" w:eastAsia="宋体" w:cs="Times New Roman"/>
          <w:bCs/>
          <w:color w:val="000000" w:themeColor="text1"/>
          <w:sz w:val="32"/>
          <w:szCs w:val="32"/>
          <w14:textFill>
            <w14:solidFill>
              <w14:schemeClr w14:val="tx1"/>
            </w14:solidFill>
          </w14:textFill>
        </w:rPr>
        <w:t>“USBKey”</w:t>
      </w:r>
      <w:r>
        <w:rPr>
          <w:rFonts w:hint="eastAsia" w:ascii="仿宋_GB2312" w:hAnsi="仿宋" w:eastAsia="仿宋_GB2312" w:cs="Times New Roman"/>
          <w:bCs/>
          <w:color w:val="000000" w:themeColor="text1"/>
          <w:sz w:val="32"/>
          <w:szCs w:val="32"/>
          <w14:textFill>
            <w14:solidFill>
              <w14:schemeClr w14:val="tx1"/>
            </w14:solidFill>
          </w14:textFill>
        </w:rPr>
        <w:t>和系统管理，</w:t>
      </w:r>
      <w:r>
        <w:rPr>
          <w:rFonts w:hint="eastAsia" w:ascii="仿宋_GB2312" w:hAnsi="仿宋" w:eastAsia="仿宋_GB2312" w:cs="Times New Roman"/>
          <w:color w:val="000000" w:themeColor="text1"/>
          <w:sz w:val="32"/>
          <w:szCs w:val="32"/>
          <w14:textFill>
            <w14:solidFill>
              <w14:schemeClr w14:val="tx1"/>
            </w14:solidFill>
          </w14:textFill>
        </w:rPr>
        <w:t>加强过程监督，及时提醒设置和注册历史数据变更。按照全省政务一体化要求，完成省政务平台与教师资格管理信息系统的对接，教师资格认定工作实现了在四川省政务平台上的报名、查询、教师资格政策咨询、教师资格证书补换发功能。</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Chars="0"/>
        <w:jc w:val="left"/>
        <w:rPr>
          <w:rFonts w:ascii="仿宋_GB2312" w:hAnsi="黑体" w:eastAsia="仿宋_GB2312" w:cs="Times New Roman"/>
          <w:color w:val="000000" w:themeColor="text1"/>
          <w:sz w:val="32"/>
          <w:szCs w:val="32"/>
          <w14:textFill>
            <w14:solidFill>
              <w14:schemeClr w14:val="tx1"/>
            </w14:solidFill>
          </w14:textFill>
        </w:rPr>
      </w:pPr>
      <w:r>
        <w:rPr>
          <w:rFonts w:hint="eastAsia" w:ascii="楷体_GB2312" w:hAnsi="楷体" w:eastAsia="楷体_GB2312" w:cs="Times New Roman"/>
          <w:b/>
          <w:color w:val="000000" w:themeColor="text1"/>
          <w:sz w:val="32"/>
          <w:szCs w:val="32"/>
          <w14:textFill>
            <w14:solidFill>
              <w14:schemeClr w14:val="tx1"/>
            </w14:solidFill>
          </w14:textFill>
        </w:rPr>
        <w:t>以测带推，加强通用语言普及推广</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一是强化常态化测试，合理布局站点。</w:t>
      </w:r>
      <w:r>
        <w:rPr>
          <w:rFonts w:hint="eastAsia" w:ascii="仿宋_GB2312" w:hAnsi="仿宋_GB2312" w:eastAsia="仿宋_GB2312" w:cs="仿宋_GB2312"/>
          <w:bCs/>
          <w:color w:val="000000" w:themeColor="text1"/>
          <w:sz w:val="32"/>
          <w:szCs w:val="32"/>
          <w14:textFill>
            <w14:solidFill>
              <w14:schemeClr w14:val="tx1"/>
            </w14:solidFill>
          </w14:textFill>
        </w:rPr>
        <w:t>一手抓常态化疫情防控工作，一手积极稳妥开展测试工作，</w:t>
      </w:r>
      <w:r>
        <w:rPr>
          <w:rFonts w:hint="eastAsia" w:ascii="仿宋_GB2312" w:hAnsi="仿宋_GB2312" w:eastAsia="仿宋_GB2312" w:cs="仿宋_GB2312"/>
          <w:color w:val="000000" w:themeColor="text1"/>
          <w:sz w:val="32"/>
          <w:szCs w:val="32"/>
          <w14:textFill>
            <w14:solidFill>
              <w14:schemeClr w14:val="tx1"/>
            </w14:solidFill>
          </w14:textFill>
        </w:rPr>
        <w:t>优化工作流程，对测试站的申报，异常任务的处理提出明确要求，指导各测试站对区域内考生测试需求作出精细分析研判，于年初对外发布本年度测试计划。新建四川开放大学、四川长江职业技术学院2个测试站点，恢复武警警官学院测试站开展测试，组织人员加强巡考</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完成测试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lang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hint="default" w:ascii="仿宋_GB2312" w:hAnsi="仿宋_GB2312" w:eastAsia="仿宋_GB2312" w:cs="仿宋_GB2312"/>
          <w:color w:val="000000" w:themeColor="text1"/>
          <w:sz w:val="32"/>
          <w:szCs w:val="32"/>
          <w14:textFill>
            <w14:solidFill>
              <w14:schemeClr w14:val="tx1"/>
            </w14:solidFill>
          </w14:textFill>
        </w:rPr>
        <w:t>余</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default" w:ascii="仿宋_GB2312" w:hAnsi="仿宋_GB2312" w:eastAsia="仿宋_GB2312" w:cs="仿宋_GB2312"/>
          <w:color w:val="000000" w:themeColor="text1"/>
          <w:sz w:val="32"/>
          <w:szCs w:val="32"/>
          <w14:textFill>
            <w14:solidFill>
              <w14:schemeClr w14:val="tx1"/>
            </w14:solidFill>
          </w14:textFill>
        </w:rPr>
        <w:t>次</w:t>
      </w:r>
      <w:r>
        <w:rPr>
          <w:rFonts w:hint="eastAsia" w:ascii="仿宋_GB2312" w:hAnsi="仿宋_GB2312" w:eastAsia="仿宋_GB2312" w:cs="仿宋_GB2312"/>
          <w:color w:val="000000" w:themeColor="text1"/>
          <w:sz w:val="32"/>
          <w:szCs w:val="32"/>
          <w14:textFill>
            <w14:solidFill>
              <w14:schemeClr w14:val="tx1"/>
            </w14:solidFill>
          </w14:textFill>
        </w:rPr>
        <w:t>，位列全国测试量第一，切实满足了考生需求。</w:t>
      </w:r>
      <w:r>
        <w:rPr>
          <w:rFonts w:hint="eastAsia" w:ascii="仿宋_GB2312" w:hAnsi="仿宋_GB2312" w:eastAsia="仿宋_GB2312" w:cs="仿宋_GB2312"/>
          <w:b/>
          <w:bCs/>
          <w:color w:val="000000" w:themeColor="text1"/>
          <w:sz w:val="32"/>
          <w:szCs w:val="32"/>
          <w14:textFill>
            <w14:solidFill>
              <w14:schemeClr w14:val="tx1"/>
            </w14:solidFill>
          </w14:textFill>
        </w:rPr>
        <w:t>二是优化测试平台，优化各项服务。</w:t>
      </w:r>
      <w:r>
        <w:rPr>
          <w:rFonts w:hint="eastAsia" w:ascii="仿宋_GB2312" w:hAnsi="仿宋_GB2312" w:eastAsia="仿宋_GB2312" w:cs="仿宋_GB2312"/>
          <w:bCs/>
          <w:color w:val="000000" w:themeColor="text1"/>
          <w:sz w:val="32"/>
          <w:szCs w:val="32"/>
          <w14:textFill>
            <w14:solidFill>
              <w14:schemeClr w14:val="tx1"/>
            </w14:solidFill>
          </w14:textFill>
        </w:rPr>
        <w:t>优化并实时推出了四川省</w:t>
      </w:r>
      <w:r>
        <w:rPr>
          <w:rFonts w:hint="eastAsia" w:ascii="仿宋_GB2312" w:hAnsi="仿宋_GB2312" w:eastAsia="仿宋_GB2312" w:cs="仿宋_GB2312"/>
          <w:color w:val="000000" w:themeColor="text1"/>
          <w:sz w:val="32"/>
          <w:szCs w:val="32"/>
          <w14:textFill>
            <w14:solidFill>
              <w14:schemeClr w14:val="tx1"/>
            </w14:solidFill>
          </w14:textFill>
        </w:rPr>
        <w:t>普通话在线报名平台，将报名、打印准考证、查询成绩、验证证书列入报名系统内，平台更加优化方便；</w:t>
      </w:r>
      <w:r>
        <w:rPr>
          <w:rFonts w:hint="eastAsia" w:ascii="仿宋_GB2312" w:hAnsi="仿宋_GB2312" w:eastAsia="仿宋_GB2312" w:cs="仿宋_GB2312"/>
          <w:b/>
          <w:color w:val="000000" w:themeColor="text1"/>
          <w:sz w:val="32"/>
          <w:szCs w:val="32"/>
          <w14:textFill>
            <w14:solidFill>
              <w14:schemeClr w14:val="tx1"/>
            </w14:solidFill>
          </w14:textFill>
        </w:rPr>
        <w:t>三是</w:t>
      </w:r>
      <w:r>
        <w:rPr>
          <w:rFonts w:hint="eastAsia" w:ascii="仿宋_GB2312" w:hAnsi="仿宋_GB2312" w:eastAsia="仿宋_GB2312" w:cs="仿宋_GB2312"/>
          <w:b/>
          <w:bCs/>
          <w:color w:val="000000" w:themeColor="text1"/>
          <w:sz w:val="32"/>
          <w:szCs w:val="32"/>
          <w14:textFill>
            <w14:solidFill>
              <w14:schemeClr w14:val="tx1"/>
            </w14:solidFill>
          </w14:textFill>
        </w:rPr>
        <w:t>优化服务、优质开展相关工作。</w:t>
      </w:r>
      <w:r>
        <w:rPr>
          <w:rFonts w:hint="eastAsia" w:ascii="仿宋_GB2312" w:hAnsi="仿宋_GB2312" w:eastAsia="仿宋_GB2312" w:cs="仿宋_GB2312"/>
          <w:color w:val="000000" w:themeColor="text1"/>
          <w:sz w:val="32"/>
          <w:szCs w:val="32"/>
          <w14:textFill>
            <w14:solidFill>
              <w14:schemeClr w14:val="tx1"/>
            </w14:solidFill>
          </w14:textFill>
        </w:rPr>
        <w:t>耐心听取考生来电，解答考生疑问。优质开展证书分发，积极拓展证书邮寄业务，共打印分发普通话等级证书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14:textFill>
            <w14:solidFill>
              <w14:schemeClr w14:val="tx1"/>
            </w14:solidFill>
          </w14:textFill>
        </w:rPr>
        <w:t>万张。</w:t>
      </w:r>
      <w:r>
        <w:rPr>
          <w:rFonts w:hint="eastAsia" w:ascii="仿宋_GB2312" w:hAnsi="仿宋_GB2312" w:eastAsia="仿宋_GB2312" w:cs="仿宋_GB2312"/>
          <w:bCs/>
          <w:color w:val="000000" w:themeColor="text1"/>
          <w:sz w:val="32"/>
          <w:szCs w:val="32"/>
          <w14:textFill>
            <w14:solidFill>
              <w14:schemeClr w14:val="tx1"/>
            </w14:solidFill>
          </w14:textFill>
        </w:rPr>
        <w:t>强化测试员队伍提升，</w:t>
      </w:r>
      <w:r>
        <w:rPr>
          <w:rFonts w:hint="eastAsia" w:ascii="仿宋_GB2312" w:hAnsi="仿宋_GB2312" w:eastAsia="仿宋_GB2312" w:cs="仿宋_GB2312"/>
          <w:color w:val="000000" w:themeColor="text1"/>
          <w:sz w:val="32"/>
          <w:szCs w:val="32"/>
          <w14:textFill>
            <w14:solidFill>
              <w14:schemeClr w14:val="tx1"/>
            </w14:solidFill>
          </w14:textFill>
        </w:rPr>
        <w:t>选送8位优秀省级测试员参加国家级国测员培训。</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Chars="0"/>
        <w:jc w:val="left"/>
        <w:rPr>
          <w:rFonts w:ascii="楷体_GB2312" w:hAnsi="黑体" w:eastAsia="楷体_GB2312" w:cs="Times New Roman"/>
          <w:color w:val="000000" w:themeColor="text1"/>
          <w:sz w:val="32"/>
          <w:szCs w:val="32"/>
          <w14:textFill>
            <w14:solidFill>
              <w14:schemeClr w14:val="tx1"/>
            </w14:solidFill>
          </w14:textFill>
        </w:rPr>
      </w:pPr>
      <w:r>
        <w:rPr>
          <w:rFonts w:hint="eastAsia" w:ascii="楷体_GB2312" w:hAnsi="楷体" w:eastAsia="楷体_GB2312" w:cs="Times New Roman"/>
          <w:b/>
          <w:color w:val="000000" w:themeColor="text1"/>
          <w:sz w:val="32"/>
          <w:szCs w:val="32"/>
          <w14:textFill>
            <w14:solidFill>
              <w14:schemeClr w14:val="tx1"/>
            </w14:solidFill>
          </w14:textFill>
        </w:rPr>
        <w:t>注重研培一体，构建高质量体系</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一是</w:t>
      </w:r>
      <w:r>
        <w:rPr>
          <w:rFonts w:hint="eastAsia" w:ascii="仿宋_GB2312" w:hAnsi="仿宋_GB2312" w:eastAsia="仿宋_GB2312" w:cs="仿宋_GB2312"/>
          <w:b/>
          <w:color w:val="000000" w:themeColor="text1"/>
          <w:sz w:val="32"/>
          <w:szCs w:val="32"/>
          <w14:textFill>
            <w14:solidFill>
              <w14:schemeClr w14:val="tx1"/>
            </w14:solidFill>
          </w14:textFill>
        </w:rPr>
        <w:t>开展研究调研，服务教育行政和教师发展。</w:t>
      </w:r>
      <w:r>
        <w:rPr>
          <w:rFonts w:hint="eastAsia" w:ascii="仿宋_GB2312" w:eastAsia="仿宋_GB2312"/>
          <w:b/>
          <w:bCs/>
          <w:color w:val="000000" w:themeColor="text1"/>
          <w:sz w:val="32"/>
          <w:szCs w:val="32"/>
          <w14:textFill>
            <w14:solidFill>
              <w14:schemeClr w14:val="tx1"/>
            </w14:solidFill>
          </w14:textFill>
        </w:rPr>
        <w:t>做实省级两项教育规划课题，</w:t>
      </w:r>
      <w:r>
        <w:rPr>
          <w:rFonts w:hint="eastAsia" w:ascii="仿宋_GB2312" w:hAnsi="仿宋_GB2312" w:eastAsia="仿宋_GB2312" w:cs="仿宋_GB2312"/>
          <w:color w:val="000000" w:themeColor="text1"/>
          <w:sz w:val="32"/>
          <w:szCs w:val="32"/>
          <w14:textFill>
            <w14:solidFill>
              <w14:schemeClr w14:val="tx1"/>
            </w14:solidFill>
          </w14:textFill>
        </w:rPr>
        <w:t>以两项省级立项课题为抓手，深入开展教师专业发展研究，</w:t>
      </w:r>
      <w:r>
        <w:rPr>
          <w:rFonts w:hint="eastAsia" w:ascii="仿宋_GB2312" w:eastAsia="仿宋_GB2312"/>
          <w:color w:val="000000" w:themeColor="text1"/>
          <w:sz w:val="32"/>
          <w:szCs w:val="32"/>
          <w14:textFill>
            <w14:solidFill>
              <w14:schemeClr w14:val="tx1"/>
            </w14:solidFill>
          </w14:textFill>
        </w:rPr>
        <w:t>形成“四川乡村教师发展及对策研究报告”“民族地区乡村教师发展调查报告”“成都市乡村教师发展调查报告”“义务教育阶段乡村教师调查报告”和“职业教育‘双师型’名师工作室发展路径与策略探究-以四川省为例”等阶段性研究成果和中期研究报告，《四川省职业院校“双师型”名师工作室运行机制研究》获四川省教育科研课题2021年度阶段成果一等奖，《新时代背景下乡村教师发展现状及对策研究》获阶段成果二等奖。</w:t>
      </w:r>
      <w:r>
        <w:rPr>
          <w:rFonts w:ascii="仿宋_GB2312" w:eastAsia="仿宋_GB2312"/>
          <w:b/>
          <w:bCs/>
          <w:color w:val="000000" w:themeColor="text1"/>
          <w:sz w:val="32"/>
          <w:szCs w:val="32"/>
          <w14:textFill>
            <w14:solidFill>
              <w14:schemeClr w14:val="tx1"/>
            </w14:solidFill>
          </w14:textFill>
        </w:rPr>
        <w:t>开展</w:t>
      </w:r>
      <w:r>
        <w:rPr>
          <w:rFonts w:hint="eastAsia" w:ascii="仿宋_GB2312" w:eastAsia="仿宋_GB2312"/>
          <w:b/>
          <w:bCs/>
          <w:color w:val="000000" w:themeColor="text1"/>
          <w:sz w:val="32"/>
          <w:szCs w:val="32"/>
          <w14:textFill>
            <w14:solidFill>
              <w14:schemeClr w14:val="tx1"/>
            </w14:solidFill>
          </w14:textFill>
        </w:rPr>
        <w:t>教师发展机构调研，</w:t>
      </w:r>
      <w:r>
        <w:rPr>
          <w:rFonts w:hint="eastAsia" w:ascii="仿宋_GB2312" w:eastAsia="仿宋_GB2312"/>
          <w:color w:val="000000" w:themeColor="text1"/>
          <w:sz w:val="32"/>
          <w:szCs w:val="32"/>
          <w14:textFill>
            <w14:solidFill>
              <w14:schemeClr w14:val="tx1"/>
            </w14:solidFill>
          </w14:textFill>
        </w:rPr>
        <w:t>研制“四川省市（州）教师发展机构现状调查问卷”“四川省县（区）级教师发展机构现状调查问卷”和“四川省市（州）和县（区）级教师发展机构工作人员调查问卷”，回收有效问卷366份，形成分区域分群体的调研报告及四川省地方教师发展机构建设现状与对策报告，为教育行政决策提供了意见参考。</w:t>
      </w:r>
      <w:r>
        <w:rPr>
          <w:rFonts w:hint="eastAsia" w:ascii="仿宋_GB2312" w:eastAsia="仿宋_GB2312"/>
          <w:b/>
          <w:bCs/>
          <w:color w:val="000000" w:themeColor="text1"/>
          <w:sz w:val="32"/>
          <w:szCs w:val="32"/>
          <w14:textFill>
            <w14:solidFill>
              <w14:schemeClr w14:val="tx1"/>
            </w14:solidFill>
          </w14:textFill>
        </w:rPr>
        <w:t>完成一项成渝教师教育综合改革项目，</w:t>
      </w:r>
      <w:r>
        <w:rPr>
          <w:rFonts w:hint="eastAsia" w:ascii="仿宋_GB2312" w:eastAsia="仿宋_GB2312"/>
          <w:color w:val="000000" w:themeColor="text1"/>
          <w:sz w:val="32"/>
          <w:szCs w:val="32"/>
          <w14:textFill>
            <w14:solidFill>
              <w14:schemeClr w14:val="tx1"/>
            </w14:solidFill>
          </w14:textFill>
        </w:rPr>
        <w:t>一年来，在协同重庆第二师范学院实施的“成渝协同”重大教育改革试验项目-国家教师发展协同创新实验基地创建中，成功申报并实施2020年“国培计划”国家级示范性综合改革项目3个子项目共计6</w:t>
      </w:r>
      <w:r>
        <w:rPr>
          <w:rFonts w:ascii="仿宋_GB2312"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人，研发设计双城国省培项目3个。成功创建成渝二省教师教育协同创新联盟，涉及包括成渝优质中小学、高校、市县教师发展机构等的两省机构共144家。同时，研发《成渝地区双城经济圈研训机构“1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”协同体建设方案》，为下一步双城教师教育合作的落地落实奠定了基础。</w:t>
      </w:r>
      <w:r>
        <w:rPr>
          <w:rFonts w:hint="eastAsia" w:ascii="仿宋_GB2312" w:eastAsia="仿宋_GB2312"/>
          <w:b/>
          <w:bCs/>
          <w:color w:val="000000" w:themeColor="text1"/>
          <w:sz w:val="32"/>
          <w:szCs w:val="32"/>
          <w14:textFill>
            <w14:solidFill>
              <w14:schemeClr w14:val="tx1"/>
            </w14:solidFill>
          </w14:textFill>
        </w:rPr>
        <w:t>做实成果提炼与推广，</w:t>
      </w:r>
      <w:r>
        <w:rPr>
          <w:rFonts w:hint="eastAsia" w:ascii="仿宋_GB2312" w:eastAsia="仿宋_GB2312"/>
          <w:color w:val="000000" w:themeColor="text1"/>
          <w:sz w:val="32"/>
          <w:szCs w:val="32"/>
          <w14:textFill>
            <w14:solidFill>
              <w14:schemeClr w14:val="tx1"/>
            </w14:solidFill>
          </w14:textFill>
        </w:rPr>
        <w:t>形成《四川民族地区乡村教师县域精准帮扶式培训实践成果》参加2021年四川省教学成果奖评审，撰写《“一村一幼”计划民族地区教育扶贫攻坚的典范工程》、《四川民族地区乡村教师县域精准帮扶式培训实践》参加第六届中国教育创新成果公益博览会，帮助市州、区（县）各级师训教研机构打磨凝练区域师训经验成果，通过“微言国培”等官方渠道向全国宣传发布，总结工作经验编写《生.长-名师工作室的四川样本》、《乡村振兴-乡村教师队伍建设的四川路径》二书并出版，全年独著、合著学术论文达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余篇，其中2篇被中国人大复印报刊资料转载。</w:t>
      </w:r>
      <w:r>
        <w:rPr>
          <w:rFonts w:hint="eastAsia" w:ascii="仿宋_GB2312" w:eastAsia="仿宋_GB2312"/>
          <w:b/>
          <w:bCs/>
          <w:color w:val="000000" w:themeColor="text1"/>
          <w:sz w:val="32"/>
          <w:szCs w:val="32"/>
          <w14:textFill>
            <w14:solidFill>
              <w14:schemeClr w14:val="tx1"/>
            </w14:solidFill>
          </w14:textFill>
        </w:rPr>
        <w:t>承接临时委托研究项目。</w:t>
      </w:r>
      <w:r>
        <w:rPr>
          <w:rFonts w:hint="eastAsia" w:ascii="仿宋_GB2312" w:eastAsia="仿宋_GB2312"/>
          <w:color w:val="000000" w:themeColor="text1"/>
          <w:sz w:val="32"/>
          <w:szCs w:val="32"/>
          <w14:textFill>
            <w14:solidFill>
              <w14:schemeClr w14:val="tx1"/>
            </w14:solidFill>
          </w14:textFill>
        </w:rPr>
        <w:t>深入凉山州、泸州市、绵阳市区县一线学校开展调研，产生调研问卷计1.97万份，形成“十四五”市县教师发展规划三份，研制“四川省凉山州‘一对一’精准帮扶提升工程绩效考核指标”体系，研制四川省中小学幼儿园教师师德师风竞赛100题题库，研制四川省首批名师名校长工作室绩效展评考核方案和首批职业教育双师型名师工作室和紧缺领域传承创新平台验收展评考核方案，参与首批义务段卓越校长所在学校课后服务落实情况抽查专项调研并撰写报告报教育厅。</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二是做实“国培”“省培”项目。</w:t>
      </w:r>
      <w:r>
        <w:rPr>
          <w:rFonts w:hint="eastAsia" w:ascii="仿宋_GB2312" w:eastAsia="仿宋_GB2312"/>
          <w:b/>
          <w:bCs/>
          <w:color w:val="000000" w:themeColor="text1"/>
          <w:sz w:val="32"/>
          <w:szCs w:val="32"/>
          <w14:textFill>
            <w14:solidFill>
              <w14:schemeClr w14:val="tx1"/>
            </w14:solidFill>
          </w14:textFill>
        </w:rPr>
        <w:t>科学设计规划年度项目，</w:t>
      </w:r>
      <w:r>
        <w:rPr>
          <w:rFonts w:hint="eastAsia" w:ascii="仿宋_GB2312" w:eastAsia="仿宋_GB2312"/>
          <w:color w:val="000000" w:themeColor="text1"/>
          <w:sz w:val="32"/>
          <w:szCs w:val="32"/>
          <w14:textFill>
            <w14:solidFill>
              <w14:schemeClr w14:val="tx1"/>
            </w14:solidFill>
          </w14:textFill>
        </w:rPr>
        <w:t>完成上报教育厅和教育部的规划书3份，近7万字。中西部和省培项目设置了56个子项目，线上线下研训计划覆盖全省专任教师。职教项目设置51个子项目，计划培训2879人。完成中央财政下达的中西部国培项目经费1</w:t>
      </w:r>
      <w:r>
        <w:rPr>
          <w:rFonts w:ascii="仿宋_GB2312" w:eastAsia="仿宋_GB2312"/>
          <w:color w:val="000000" w:themeColor="text1"/>
          <w:sz w:val="32"/>
          <w:szCs w:val="32"/>
          <w14:textFill>
            <w14:solidFill>
              <w14:schemeClr w14:val="tx1"/>
            </w14:solidFill>
          </w14:textFill>
        </w:rPr>
        <w:t>4660</w:t>
      </w:r>
      <w:r>
        <w:rPr>
          <w:rFonts w:hint="eastAsia" w:ascii="仿宋_GB2312" w:eastAsia="仿宋_GB2312"/>
          <w:color w:val="000000" w:themeColor="text1"/>
          <w:sz w:val="32"/>
          <w:szCs w:val="32"/>
          <w14:textFill>
            <w14:solidFill>
              <w14:schemeClr w14:val="tx1"/>
            </w14:solidFill>
          </w14:textFill>
        </w:rPr>
        <w:t>万元、职教师资素质提高计划项目经费2700万元，省财政下达的教师校长培训经费3000万元，共计2</w:t>
      </w:r>
      <w:r>
        <w:rPr>
          <w:rFonts w:ascii="仿宋_GB2312" w:eastAsia="仿宋_GB2312"/>
          <w:color w:val="000000" w:themeColor="text1"/>
          <w:sz w:val="32"/>
          <w:szCs w:val="32"/>
          <w14:textFill>
            <w14:solidFill>
              <w14:schemeClr w14:val="tx1"/>
            </w14:solidFill>
          </w14:textFill>
        </w:rPr>
        <w:t>0360</w:t>
      </w:r>
      <w:r>
        <w:rPr>
          <w:rFonts w:hint="eastAsia" w:ascii="仿宋_GB2312" w:eastAsia="仿宋_GB2312"/>
          <w:color w:val="000000" w:themeColor="text1"/>
          <w:sz w:val="32"/>
          <w:szCs w:val="32"/>
          <w14:textFill>
            <w14:solidFill>
              <w14:schemeClr w14:val="tx1"/>
            </w14:solidFill>
          </w14:textFill>
        </w:rPr>
        <w:t>万元培训经费的项目规划。</w:t>
      </w:r>
      <w:r>
        <w:rPr>
          <w:rFonts w:hint="eastAsia" w:ascii="仿宋_GB2312" w:eastAsia="仿宋_GB2312"/>
          <w:b/>
          <w:bCs/>
          <w:color w:val="000000" w:themeColor="text1"/>
          <w:sz w:val="32"/>
          <w:szCs w:val="32"/>
          <w14:textFill>
            <w14:solidFill>
              <w14:schemeClr w14:val="tx1"/>
            </w14:solidFill>
          </w14:textFill>
        </w:rPr>
        <w:t>推进“国示”和国省培项目组织管理，</w:t>
      </w:r>
      <w:r>
        <w:rPr>
          <w:rFonts w:hint="eastAsia" w:ascii="仿宋_GB2312" w:eastAsia="仿宋_GB2312"/>
          <w:color w:val="000000" w:themeColor="text1"/>
          <w:sz w:val="32"/>
          <w:szCs w:val="32"/>
          <w14:textFill>
            <w14:solidFill>
              <w14:schemeClr w14:val="tx1"/>
            </w14:solidFill>
          </w14:textFill>
        </w:rPr>
        <w:t>完成2020年度和2021年“国示”项目培训班学员选派报送、开班通知发布和人员替换，完善培训管理制度，研制“国培计划”、“省培计划”、“职教师资素质提高计划”年度实施方案并开展相关活动。完成第二批省名师名校长工作室成员更换工作，发布第三批省名师名校长工作室“揭榜挂帅”领衔人遴选和组建通知。</w:t>
      </w:r>
      <w:r>
        <w:rPr>
          <w:rFonts w:hint="eastAsia" w:ascii="仿宋_GB2312" w:eastAsia="仿宋_GB2312"/>
          <w:b/>
          <w:bCs/>
          <w:color w:val="000000" w:themeColor="text1"/>
          <w:sz w:val="32"/>
          <w:szCs w:val="32"/>
          <w14:textFill>
            <w14:solidFill>
              <w14:schemeClr w14:val="tx1"/>
            </w14:solidFill>
          </w14:textFill>
        </w:rPr>
        <w:t>开展国省培过程监管和绩效评估，</w:t>
      </w:r>
      <w:r>
        <w:rPr>
          <w:rFonts w:hint="eastAsia" w:ascii="仿宋_GB2312" w:eastAsia="仿宋_GB2312"/>
          <w:color w:val="000000" w:themeColor="text1"/>
          <w:sz w:val="32"/>
          <w:szCs w:val="32"/>
          <w14:textFill>
            <w14:solidFill>
              <w14:schemeClr w14:val="tx1"/>
            </w14:solidFill>
          </w14:textFill>
        </w:rPr>
        <w:t>组建7个视导专家组，完成对全省所有地方申报培训项目的过程视导，15个项目市和68个项目县从中受益，视导评估结果均为合格，部分项目市、县达到良好或优秀。撰写四川“国培计划”（2020）年度项目和职业教师素质提高计划年度培训项目的整体绩效评估报告，上报教育厅和教育部。2020年“国培计划”中西部和幼师项目区县承办项目参训率达100%，满意度97%。高校机构承办项目参训率达94%，满意度96.3%。职教国培项目参训率93.4%，满意度94.4%。</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themeColor="text1"/>
          <w:sz w:val="32"/>
          <w:szCs w:val="32"/>
          <w14:textFill>
            <w14:solidFill>
              <w14:schemeClr w14:val="tx1"/>
            </w14:solidFill>
          </w14:textFill>
        </w:rPr>
        <w:t>三是做优教师培训重点项目。</w:t>
      </w:r>
      <w:r>
        <w:rPr>
          <w:rFonts w:hint="eastAsia" w:ascii="仿宋_GB2312" w:eastAsia="仿宋_GB2312"/>
          <w:b/>
          <w:bCs/>
          <w:color w:val="000000" w:themeColor="text1"/>
          <w:sz w:val="32"/>
          <w:szCs w:val="32"/>
          <w14:textFill>
            <w14:solidFill>
              <w14:schemeClr w14:val="tx1"/>
            </w14:solidFill>
          </w14:textFill>
        </w:rPr>
        <w:t>承接并完成“国培计划”示范性综合改革项目，</w:t>
      </w:r>
      <w:r>
        <w:rPr>
          <w:rFonts w:hint="eastAsia" w:ascii="仿宋_GB2312" w:eastAsia="仿宋_GB2312"/>
          <w:color w:val="000000" w:themeColor="text1"/>
          <w:sz w:val="32"/>
          <w:szCs w:val="32"/>
          <w14:textFill>
            <w14:solidFill>
              <w14:schemeClr w14:val="tx1"/>
            </w14:solidFill>
          </w14:textFill>
        </w:rPr>
        <w:t>与协同申报单位一起，顺利完成四川省首次申报成功的教育部“国培计划”示范性改革项目三项，分别为：示范性综合改革项目信息技术与教师培训融合（四川小学数学），培训50人；综合改革项目培训课标（小学数学）成渝培训班，培训四川学员25人；综合改革项目成渝地区双城经济圈协作探索常态化区域自主选学培训制度建设项目，培训四川学员200人。</w:t>
      </w:r>
      <w:r>
        <w:rPr>
          <w:rFonts w:hint="eastAsia" w:ascii="仿宋_GB2312" w:eastAsia="仿宋_GB2312"/>
          <w:b/>
          <w:bCs/>
          <w:color w:val="000000" w:themeColor="text1"/>
          <w:sz w:val="32"/>
          <w:szCs w:val="32"/>
          <w14:textFill>
            <w14:solidFill>
              <w14:schemeClr w14:val="tx1"/>
            </w14:solidFill>
          </w14:textFill>
        </w:rPr>
        <w:t>完成“国培”“省培”相关培训项目，</w:t>
      </w:r>
      <w:r>
        <w:rPr>
          <w:rFonts w:hint="eastAsia" w:ascii="仿宋_GB2312" w:eastAsia="仿宋_GB2312"/>
          <w:color w:val="000000" w:themeColor="text1"/>
          <w:sz w:val="32"/>
          <w:szCs w:val="32"/>
          <w14:textFill>
            <w14:solidFill>
              <w14:schemeClr w14:val="tx1"/>
            </w14:solidFill>
          </w14:textFill>
        </w:rPr>
        <w:t>完成全省新师线上线下培训人次共计3</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万。牵头组织完成四川省“国培计划(2020)”新入职教师示范性培训项目线下集中研修，培训学员200人，培训满意度9</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%。牵头组织完成四川省“国培计划”(2020)省级名师鼎兴工作室领衔人省外研修，培训53人，满意度9</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牵头组织完成四川省“国培计划”（2020）省级培训管理者高级研修，培训200人，满意度97%，同时，参与完成四川省2020年卓越校长培养计划项目，培训100人；参与完成云南省2020年职业院校教师素质提高计划骨干培训专家团队建设项目，培训40人。</w:t>
      </w:r>
      <w:r>
        <w:rPr>
          <w:rFonts w:hint="eastAsia" w:ascii="仿宋_GB2312" w:eastAsia="仿宋_GB2312"/>
          <w:b/>
          <w:bCs/>
          <w:color w:val="000000" w:themeColor="text1"/>
          <w:sz w:val="32"/>
          <w:szCs w:val="32"/>
          <w14:textFill>
            <w14:solidFill>
              <w14:schemeClr w14:val="tx1"/>
            </w14:solidFill>
          </w14:textFill>
        </w:rPr>
        <w:t>创新实施“一对一”精准帮扶项目，</w:t>
      </w:r>
      <w:r>
        <w:rPr>
          <w:rFonts w:hint="eastAsia" w:ascii="仿宋_GB2312" w:eastAsia="仿宋_GB2312"/>
          <w:color w:val="000000" w:themeColor="text1"/>
          <w:sz w:val="32"/>
          <w:szCs w:val="32"/>
          <w14:textFill>
            <w14:solidFill>
              <w14:schemeClr w14:val="tx1"/>
            </w14:solidFill>
          </w14:textFill>
        </w:rPr>
        <w:t>谋划和组织协调并开展了第三次和第四次现场推进会，共计300余人参加。收集整理打磨承训机构和受帮扶县提交的帮扶年度实施方案、学校制度管理、校园文化建设、校本教研研修制度等各类材料集10余万字。</w:t>
      </w:r>
    </w:p>
    <w:p>
      <w:pPr>
        <w:pStyle w:val="4"/>
        <w:numPr>
          <w:ilvl w:val="0"/>
          <w:numId w:val="0"/>
        </w:numPr>
        <w:ind w:left="630" w:leftChars="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三、内设机构</w:t>
      </w:r>
      <w:r>
        <w:rPr>
          <w:rFonts w:hint="eastAsia" w:ascii="黑体" w:hAnsi="黑体" w:eastAsia="黑体"/>
          <w:b w:val="0"/>
          <w:color w:val="auto"/>
          <w:highlight w:val="none"/>
          <w:lang w:eastAsia="zh-CN"/>
        </w:rPr>
        <w:t>情况</w:t>
      </w:r>
    </w:p>
    <w:p>
      <w:pPr>
        <w:numPr>
          <w:ilvl w:val="0"/>
          <w:numId w:val="0"/>
        </w:numPr>
        <w:ind w:left="63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中心无内设机构</w:t>
      </w:r>
    </w:p>
    <w:p>
      <w:pPr>
        <w:numPr>
          <w:ilvl w:val="0"/>
          <w:numId w:val="0"/>
        </w:numPr>
        <w:ind w:left="630" w:leftChars="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rPr>
          <w:rFonts w:hint="eastAsia" w:ascii="仿宋_GB2312" w:eastAsia="仿宋_GB2312"/>
          <w:color w:val="000000" w:themeColor="text1"/>
          <w:sz w:val="32"/>
          <w:szCs w:val="32"/>
          <w14:textFill>
            <w14:solidFill>
              <w14:schemeClr w14:val="tx1"/>
            </w14:solidFill>
          </w14:textFill>
        </w:rPr>
      </w:pPr>
    </w:p>
    <w:p>
      <w:pPr>
        <w:pStyle w:val="2"/>
        <w:rPr>
          <w:rFonts w:hint="eastAsia"/>
        </w:rPr>
      </w:pPr>
    </w:p>
    <w:p>
      <w:pPr>
        <w:pStyle w:val="2"/>
        <w:rPr>
          <w:rFonts w:hint="default" w:eastAsia="仿宋_GB2312"/>
          <w:lang w:val="en-US" w:eastAsia="zh-CN"/>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eastAsia="zh-CN"/>
        </w:rPr>
        <w:t>305.80</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eastAsia="zh-CN"/>
        </w:rPr>
        <w:t>2.91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eastAsia="zh-CN"/>
        </w:rPr>
        <w:t>0.95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是中心在保障各项业务工作正常有序进行的前提下，本着厉行节约的方针，全年的支出略有下降。</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ascii="仿宋" w:hAnsi="仿宋" w:eastAsia="仿宋"/>
          <w:b/>
          <w:color w:val="auto"/>
          <w:sz w:val="32"/>
          <w:szCs w:val="32"/>
          <w:highlight w:val="none"/>
        </w:rPr>
        <w:t>0</w:t>
      </w:r>
      <w:r>
        <w:rPr>
          <w:rFonts w:hint="eastAsia" w:ascii="仿宋" w:hAnsi="仿宋" w:eastAsia="仿宋"/>
          <w:b/>
          <w:color w:val="auto"/>
          <w:sz w:val="32"/>
          <w:szCs w:val="32"/>
          <w:highlight w:val="none"/>
          <w:lang w:val="en-US" w:eastAsia="zh-CN"/>
        </w:rPr>
        <w:t>1</w:t>
      </w:r>
      <w:r>
        <w:rPr>
          <w:rFonts w:ascii="仿宋" w:hAnsi="仿宋" w:eastAsia="仿宋"/>
          <w:b/>
          <w:color w:val="auto"/>
          <w:sz w:val="32"/>
          <w:szCs w:val="32"/>
          <w:highlight w:val="none"/>
        </w:rPr>
        <w:t>表）</w:t>
      </w:r>
    </w:p>
    <w:p>
      <w:pPr>
        <w:pStyle w:val="2"/>
        <w:jc w:val="center"/>
      </w:pPr>
      <w:r>
        <w:drawing>
          <wp:inline distT="0" distB="0" distL="114300" distR="114300">
            <wp:extent cx="4572000" cy="3400425"/>
            <wp:effectExtent l="4445" t="4445" r="1460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hint="eastAsia" w:ascii="仿宋_GB2312" w:eastAsia="仿宋_GB2312"/>
          <w:color w:val="auto"/>
          <w:sz w:val="32"/>
          <w:szCs w:val="32"/>
          <w:highlight w:val="none"/>
          <w:lang w:eastAsia="zh-CN"/>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eastAsia="zh-CN"/>
        </w:rPr>
        <w:t>305.80</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eastAsia="zh-CN"/>
        </w:rPr>
        <w:t>305.80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ascii="仿宋" w:hAnsi="仿宋" w:eastAsia="仿宋"/>
          <w:b/>
          <w:color w:val="auto"/>
          <w:sz w:val="32"/>
          <w:szCs w:val="32"/>
          <w:highlight w:val="none"/>
        </w:rPr>
        <w:t>0</w:t>
      </w:r>
      <w:r>
        <w:rPr>
          <w:rFonts w:hint="eastAsia" w:ascii="仿宋" w:hAnsi="仿宋" w:eastAsia="仿宋"/>
          <w:b/>
          <w:color w:val="auto"/>
          <w:sz w:val="32"/>
          <w:szCs w:val="32"/>
          <w:highlight w:val="none"/>
          <w:lang w:val="en-US" w:eastAsia="zh-CN"/>
        </w:rPr>
        <w:t>2</w:t>
      </w:r>
      <w:r>
        <w:rPr>
          <w:rFonts w:ascii="仿宋" w:hAnsi="仿宋" w:eastAsia="仿宋"/>
          <w:b/>
          <w:color w:val="auto"/>
          <w:sz w:val="32"/>
          <w:szCs w:val="32"/>
          <w:highlight w:val="none"/>
        </w:rPr>
        <w:t>表）</w:t>
      </w:r>
    </w:p>
    <w:p>
      <w:pPr>
        <w:pStyle w:val="2"/>
        <w:jc w:val="center"/>
      </w:pPr>
      <w:r>
        <w:drawing>
          <wp:inline distT="0" distB="0" distL="114300" distR="114300">
            <wp:extent cx="4572000" cy="266700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23"/>
        <w:numPr>
          <w:ilvl w:val="0"/>
          <w:numId w:val="3"/>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305.80</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292.44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95.63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13.36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ascii="仿宋" w:hAnsi="仿宋" w:eastAsia="仿宋"/>
          <w:b/>
          <w:color w:val="auto"/>
          <w:sz w:val="32"/>
          <w:szCs w:val="32"/>
          <w:highlight w:val="none"/>
        </w:rPr>
        <w:t>0</w:t>
      </w:r>
      <w:r>
        <w:rPr>
          <w:rFonts w:hint="eastAsia" w:ascii="仿宋" w:hAnsi="仿宋" w:eastAsia="仿宋"/>
          <w:b/>
          <w:color w:val="auto"/>
          <w:sz w:val="32"/>
          <w:szCs w:val="32"/>
          <w:highlight w:val="none"/>
          <w:lang w:val="en-US" w:eastAsia="zh-CN"/>
        </w:rPr>
        <w:t>3</w:t>
      </w:r>
      <w:r>
        <w:rPr>
          <w:rFonts w:hint="eastAsia" w:ascii="仿宋" w:hAnsi="仿宋" w:eastAsia="仿宋"/>
          <w:b/>
          <w:color w:val="auto"/>
          <w:sz w:val="32"/>
          <w:szCs w:val="32"/>
          <w:highlight w:val="none"/>
        </w:rPr>
        <w:t>表）</w:t>
      </w:r>
    </w:p>
    <w:p>
      <w:pPr>
        <w:pStyle w:val="2"/>
      </w:pPr>
      <w:r>
        <w:drawing>
          <wp:inline distT="0" distB="0" distL="114300" distR="114300">
            <wp:extent cx="5048250" cy="2620645"/>
            <wp:effectExtent l="4445" t="4445" r="14605" b="2286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305.80</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2.91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是中心在保障各项业务工作正常有序进行的前提下，本着厉行节约的方针，全年的支出略有下降。</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hint="eastAsia" w:ascii="仿宋" w:hAnsi="仿宋" w:eastAsia="仿宋"/>
          <w:b/>
          <w:color w:val="auto"/>
          <w:sz w:val="32"/>
          <w:szCs w:val="32"/>
          <w:highlight w:val="none"/>
          <w:lang w:val="en-US" w:eastAsia="zh-CN"/>
        </w:rPr>
        <w:t>04</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pStyle w:val="2"/>
        <w:jc w:val="center"/>
      </w:pPr>
      <w:r>
        <w:drawing>
          <wp:inline distT="0" distB="0" distL="114300" distR="114300">
            <wp:extent cx="4572000" cy="3456940"/>
            <wp:effectExtent l="5080" t="4445" r="13970" b="571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305.80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中心在保障各项业务工作正常有序进行的前提下，本着厉行节约的方针，全年的支出略有下降。</w:t>
      </w:r>
    </w:p>
    <w:p>
      <w:pPr>
        <w:pStyle w:val="2"/>
        <w:jc w:val="center"/>
        <w:rPr>
          <w:rFonts w:hint="eastAsia"/>
          <w:lang w:eastAsia="zh-CN"/>
        </w:rPr>
      </w:pPr>
      <w:r>
        <w:drawing>
          <wp:inline distT="0" distB="0" distL="114300" distR="114300">
            <wp:extent cx="4572000" cy="3266440"/>
            <wp:effectExtent l="4445" t="4445" r="14605" b="571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305.80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b/>
          <w:color w:val="auto"/>
          <w:sz w:val="32"/>
          <w:szCs w:val="32"/>
          <w:highlight w:val="none"/>
          <w:lang w:val="en-US" w:eastAsia="zh-CN"/>
        </w:rPr>
        <w:t>284.64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10.61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4.86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1.59</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5.69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注：数据来源于财决公开</w:t>
      </w:r>
      <w:r>
        <w:rPr>
          <w:rFonts w:hint="eastAsia" w:ascii="仿宋" w:hAnsi="仿宋" w:eastAsia="仿宋"/>
          <w:b/>
          <w:color w:val="auto"/>
          <w:sz w:val="32"/>
          <w:szCs w:val="32"/>
          <w:highlight w:val="none"/>
          <w:lang w:val="en-US" w:eastAsia="zh-CN"/>
        </w:rPr>
        <w:t>06表，至类级</w:t>
      </w:r>
      <w:r>
        <w:rPr>
          <w:rFonts w:hint="eastAsia" w:ascii="仿宋" w:hAnsi="仿宋" w:eastAsia="仿宋"/>
          <w:b/>
          <w:color w:val="auto"/>
          <w:sz w:val="32"/>
          <w:szCs w:val="32"/>
          <w:highlight w:val="none"/>
        </w:rPr>
        <w:t>。）</w:t>
      </w:r>
    </w:p>
    <w:p>
      <w:pPr>
        <w:pStyle w:val="2"/>
        <w:jc w:val="center"/>
        <w:rPr>
          <w:rFonts w:hint="eastAsia"/>
        </w:rPr>
      </w:pPr>
      <w:r>
        <w:drawing>
          <wp:inline distT="0" distB="0" distL="114300" distR="114300">
            <wp:extent cx="4933315" cy="3495675"/>
            <wp:effectExtent l="4445" t="4445" r="15240" b="50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305.80万元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教育（类）</w:t>
      </w:r>
      <w:r>
        <w:rPr>
          <w:rStyle w:val="14"/>
          <w:rFonts w:hint="eastAsia" w:ascii="仿宋" w:hAnsi="仿宋" w:eastAsia="仿宋"/>
          <w:bCs/>
          <w:color w:val="auto"/>
          <w:sz w:val="32"/>
          <w:szCs w:val="32"/>
          <w:highlight w:val="none"/>
          <w:lang w:eastAsia="zh-CN"/>
        </w:rPr>
        <w:t>普通教育</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其他普通教育支出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284.64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机关事业单位基本养老保险缴费支出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7.07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机关事业单位基本职业年金缴费支出</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3.54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事业单位医疗</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4.86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住房保障</w:t>
      </w:r>
      <w:r>
        <w:rPr>
          <w:rFonts w:hint="eastAsia" w:ascii="仿宋" w:hAnsi="仿宋" w:eastAsia="仿宋"/>
          <w:b/>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住房改革支出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住房公积金</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5.69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hint="eastAsia" w:ascii="仿宋" w:hAnsi="仿宋" w:eastAsia="仿宋"/>
          <w:b/>
          <w:color w:val="auto"/>
          <w:sz w:val="32"/>
          <w:szCs w:val="32"/>
          <w:highlight w:val="none"/>
          <w:lang w:val="en-US" w:eastAsia="zh-CN"/>
        </w:rPr>
        <w:t>06表</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292.44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263.92</w:t>
      </w:r>
      <w:r>
        <w:rPr>
          <w:rFonts w:hint="eastAsia" w:ascii="仿宋" w:hAnsi="仿宋" w:eastAsia="仿宋"/>
          <w:color w:val="auto"/>
          <w:sz w:val="32"/>
          <w:szCs w:val="32"/>
          <w:highlight w:val="none"/>
        </w:rPr>
        <w:t>万元，主要包括：基本工资、津贴补贴、绩效工资、机关事业单位基本养老保险缴费、职业年金缴费、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、其他工资福利支出、住房公积金等。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28.52</w:t>
      </w:r>
      <w:r>
        <w:rPr>
          <w:rFonts w:hint="eastAsia" w:ascii="仿宋" w:hAnsi="仿宋" w:eastAsia="仿宋"/>
          <w:color w:val="auto"/>
          <w:sz w:val="32"/>
          <w:szCs w:val="32"/>
          <w:highlight w:val="none"/>
        </w:rPr>
        <w:t>万元，主要包括：办公费、咨询费、手续</w:t>
      </w:r>
      <w:r>
        <w:rPr>
          <w:rFonts w:hint="eastAsia" w:ascii="仿宋" w:hAnsi="仿宋" w:eastAsia="仿宋"/>
          <w:color w:val="auto"/>
          <w:sz w:val="32"/>
          <w:szCs w:val="32"/>
          <w:highlight w:val="none"/>
          <w:lang w:eastAsia="zh-CN"/>
        </w:rPr>
        <w:t>费</w:t>
      </w:r>
      <w:r>
        <w:rPr>
          <w:rFonts w:hint="eastAsia" w:ascii="仿宋" w:hAnsi="仿宋" w:eastAsia="仿宋"/>
          <w:color w:val="auto"/>
          <w:sz w:val="32"/>
          <w:szCs w:val="32"/>
          <w:highlight w:val="none"/>
        </w:rPr>
        <w:t>、水费、电费、邮电费、物业管理费、差旅费、维修（护）费</w:t>
      </w:r>
      <w:r>
        <w:rPr>
          <w:rFonts w:hint="eastAsia" w:ascii="仿宋" w:hAnsi="仿宋" w:eastAsia="仿宋"/>
          <w:color w:val="auto"/>
          <w:sz w:val="32"/>
          <w:szCs w:val="32"/>
          <w:highlight w:val="none"/>
          <w:lang w:eastAsia="zh-CN"/>
        </w:rPr>
        <w:t>、租赁费</w:t>
      </w:r>
      <w:r>
        <w:rPr>
          <w:rFonts w:hint="eastAsia" w:ascii="仿宋" w:hAnsi="仿宋" w:eastAsia="仿宋"/>
          <w:color w:val="auto"/>
          <w:sz w:val="32"/>
          <w:szCs w:val="32"/>
          <w:highlight w:val="none"/>
        </w:rPr>
        <w:t>、会议费、公务接待费、劳务费、工会经费、公务用车运行维护费</w:t>
      </w:r>
      <w:r>
        <w:rPr>
          <w:rFonts w:hint="eastAsia" w:ascii="仿宋" w:hAnsi="仿宋" w:eastAsia="仿宋"/>
          <w:color w:val="auto"/>
          <w:sz w:val="32"/>
          <w:szCs w:val="32"/>
          <w:highlight w:val="none"/>
          <w:lang w:eastAsia="zh-CN"/>
        </w:rPr>
        <w:t>、其他商品和服务支出</w:t>
      </w:r>
      <w:r>
        <w:rPr>
          <w:rFonts w:hint="eastAsia" w:ascii="仿宋" w:hAnsi="仿宋" w:eastAsia="仿宋"/>
          <w:color w:val="auto"/>
          <w:sz w:val="32"/>
          <w:szCs w:val="32"/>
          <w:highlight w:val="none"/>
        </w:rPr>
        <w:t>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hint="eastAsia" w:ascii="仿宋" w:hAnsi="仿宋" w:eastAsia="仿宋"/>
          <w:b/>
          <w:color w:val="auto"/>
          <w:sz w:val="32"/>
          <w:szCs w:val="32"/>
          <w:highlight w:val="none"/>
          <w:lang w:eastAsia="zh-CN"/>
        </w:rPr>
        <w:t>公开</w:t>
      </w:r>
      <w:r>
        <w:rPr>
          <w:rFonts w:ascii="仿宋" w:hAnsi="仿宋" w:eastAsia="仿宋"/>
          <w:b/>
          <w:color w:val="auto"/>
          <w:sz w:val="32"/>
          <w:szCs w:val="32"/>
          <w:highlight w:val="none"/>
        </w:rPr>
        <w:t>0</w:t>
      </w:r>
      <w:r>
        <w:rPr>
          <w:rFonts w:hint="eastAsia" w:ascii="仿宋" w:hAnsi="仿宋" w:eastAsia="仿宋"/>
          <w:b/>
          <w:color w:val="auto"/>
          <w:sz w:val="32"/>
          <w:szCs w:val="32"/>
          <w:highlight w:val="none"/>
          <w:lang w:val="en-US" w:eastAsia="zh-CN"/>
        </w:rPr>
        <w:t>8</w:t>
      </w:r>
      <w:r>
        <w:rPr>
          <w:rFonts w:hint="eastAsia" w:ascii="仿宋" w:hAnsi="仿宋" w:eastAsia="仿宋"/>
          <w:b/>
          <w:color w:val="auto"/>
          <w:sz w:val="32"/>
          <w:szCs w:val="32"/>
          <w:highlight w:val="none"/>
        </w:rPr>
        <w:t>表）</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0.76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88.16</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11.84</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0.00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0.67</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1.37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67.16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公务车出勤较少，产生费用下降</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0.00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0.67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一辆公务车</w:t>
      </w:r>
      <w:r>
        <w:rPr>
          <w:rFonts w:hint="eastAsia" w:ascii="仿宋_GB2312" w:eastAsia="仿宋_GB2312"/>
          <w:color w:val="auto"/>
          <w:sz w:val="32"/>
          <w:szCs w:val="32"/>
          <w:highlight w:val="none"/>
        </w:rPr>
        <w:t>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0.09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0.04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80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2020年公务接待费基数较低，以至增长幅度较大。</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0.09</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0.09</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接待科大讯飞</w:t>
      </w:r>
      <w:r>
        <w:rPr>
          <w:rFonts w:hint="eastAsia" w:ascii="仿宋_GB2312" w:eastAsia="仿宋_GB2312"/>
          <w:color w:val="auto"/>
          <w:sz w:val="32"/>
          <w:szCs w:val="32"/>
          <w:highlight w:val="none"/>
          <w:lang w:val="en-US" w:eastAsia="zh-CN"/>
        </w:rPr>
        <w:t>2位</w:t>
      </w:r>
      <w:r>
        <w:rPr>
          <w:rFonts w:hint="eastAsia" w:ascii="仿宋_GB2312" w:eastAsia="仿宋_GB2312"/>
          <w:color w:val="auto"/>
          <w:sz w:val="32"/>
          <w:szCs w:val="32"/>
          <w:highlight w:val="none"/>
          <w:lang w:eastAsia="zh-CN"/>
        </w:rPr>
        <w:t>技术人员来中心指导工作，公务用餐</w:t>
      </w:r>
      <w:r>
        <w:rPr>
          <w:rFonts w:hint="eastAsia" w:ascii="仿宋_GB2312" w:eastAsia="仿宋_GB2312"/>
          <w:color w:val="auto"/>
          <w:sz w:val="32"/>
          <w:szCs w:val="32"/>
          <w:highlight w:val="none"/>
          <w:lang w:val="en-US" w:eastAsia="zh-CN"/>
        </w:rPr>
        <w:t>0.03万元；接待国家语委工作人员3人及教育厅领导4人调研指导工作，公务用餐0.06万元</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0.00</w:t>
      </w:r>
      <w:r>
        <w:rPr>
          <w:rFonts w:hint="eastAsia" w:ascii="仿宋_GB2312" w:eastAsia="仿宋_GB2312"/>
          <w:color w:val="auto"/>
          <w:sz w:val="32"/>
          <w:szCs w:val="32"/>
          <w:highlight w:val="none"/>
        </w:rPr>
        <w:t>万</w:t>
      </w:r>
      <w:r>
        <w:rPr>
          <w:rFonts w:hint="eastAsia" w:ascii="仿宋_GB2312" w:eastAsia="仿宋_GB2312"/>
          <w:color w:val="auto"/>
          <w:sz w:val="32"/>
          <w:szCs w:val="32"/>
          <w:highlight w:val="none"/>
          <w:lang w:eastAsia="zh-CN"/>
        </w:rPr>
        <w:t>元</w:t>
      </w:r>
      <w:r>
        <w:rPr>
          <w:rFonts w:hint="eastAsia" w:ascii="仿宋_GB2312" w:eastAsia="仿宋_GB2312"/>
          <w:color w:val="auto"/>
          <w:sz w:val="32"/>
          <w:szCs w:val="32"/>
          <w:highlight w:val="none"/>
        </w:rPr>
        <w:t>。</w:t>
      </w:r>
    </w:p>
    <w:p>
      <w:pPr>
        <w:spacing w:line="600" w:lineRule="exact"/>
        <w:ind w:firstLine="640"/>
        <w:outlineLvl w:val="1"/>
        <w:rPr>
          <w:rFonts w:ascii="黑体" w:eastAsia="黑体"/>
          <w:color w:val="auto"/>
          <w:sz w:val="32"/>
          <w:szCs w:val="32"/>
          <w:highlight w:val="none"/>
        </w:rPr>
      </w:pPr>
      <w:bookmarkStart w:id="40" w:name="_Toc15377218"/>
      <w:bookmarkStart w:id="41"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中心无</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中心无</w:t>
      </w:r>
      <w:r>
        <w:rPr>
          <w:rFonts w:hint="eastAsia" w:ascii="仿宋_GB2312" w:eastAsia="仿宋_GB2312"/>
          <w:color w:val="auto"/>
          <w:sz w:val="32"/>
          <w:szCs w:val="32"/>
          <w:highlight w:val="none"/>
        </w:rPr>
        <w:t>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属于</w:t>
      </w:r>
      <w:r>
        <w:rPr>
          <w:rFonts w:hint="eastAsia" w:ascii="仿宋_GB2312" w:eastAsia="仿宋_GB2312"/>
          <w:color w:val="auto"/>
          <w:sz w:val="32"/>
          <w:szCs w:val="32"/>
          <w:highlight w:val="none"/>
        </w:rPr>
        <w:t>应急保障用车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w:t>
      </w:r>
      <w:r>
        <w:rPr>
          <w:rFonts w:hint="eastAsia" w:ascii="仿宋_GB2312" w:hAnsi="仿宋_GB2312" w:eastAsia="仿宋_GB2312" w:cs="仿宋_GB2312"/>
          <w:color w:val="auto"/>
          <w:sz w:val="32"/>
          <w:szCs w:val="32"/>
          <w:highlight w:val="none"/>
          <w:lang w:eastAsia="zh-CN"/>
        </w:rPr>
        <w:t>中心</w:t>
      </w:r>
      <w:r>
        <w:rPr>
          <w:rFonts w:hint="eastAsia" w:ascii="仿宋_GB2312" w:hAnsi="仿宋_GB2312" w:eastAsia="仿宋_GB2312" w:cs="仿宋_GB2312"/>
          <w:color w:val="auto"/>
          <w:sz w:val="32"/>
          <w:szCs w:val="32"/>
          <w:highlight w:val="none"/>
          <w:lang w:val="en-US" w:eastAsia="zh-CN"/>
        </w:rPr>
        <w:t>2021年无重点项目预算评价，未开展</w:t>
      </w:r>
      <w:r>
        <w:rPr>
          <w:rFonts w:hint="eastAsia" w:ascii="仿宋_GB2312" w:hAnsi="仿宋_GB2312" w:eastAsia="仿宋_GB2312" w:cs="仿宋_GB2312"/>
          <w:color w:val="auto"/>
          <w:sz w:val="32"/>
          <w:szCs w:val="32"/>
          <w:highlight w:val="none"/>
        </w:rPr>
        <w:t>预算事前绩效评估。</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spacing w:line="600" w:lineRule="exact"/>
        <w:jc w:val="left"/>
        <w:rPr>
          <w:rFonts w:ascii="宋体"/>
          <w:b/>
          <w:color w:val="auto"/>
          <w:sz w:val="44"/>
          <w:szCs w:val="44"/>
          <w:highlight w:val="none"/>
        </w:rPr>
      </w:pPr>
    </w:p>
    <w:p>
      <w:pPr>
        <w:pStyle w:val="2"/>
        <w:rPr>
          <w:rStyle w:val="24"/>
          <w:rFonts w:ascii="黑体" w:hAnsi="黑体" w:eastAsia="黑体"/>
          <w:b w:val="0"/>
        </w:rPr>
      </w:pPr>
    </w:p>
    <w:p>
      <w:pPr>
        <w:pStyle w:val="2"/>
        <w:ind w:firstLine="1760" w:firstLineChars="400"/>
        <w:rPr>
          <w:rStyle w:val="24"/>
          <w:rFonts w:ascii="黑体" w:hAnsi="黑体" w:eastAsia="黑体"/>
          <w:b w:val="0"/>
        </w:rPr>
      </w:pPr>
      <w:r>
        <w:rPr>
          <w:rStyle w:val="24"/>
          <w:rFonts w:hint="eastAsia" w:ascii="黑体" w:hAnsi="黑体" w:eastAsia="黑体"/>
          <w:b w:val="0"/>
          <w:lang w:eastAsia="zh-CN"/>
        </w:rPr>
        <w:t>第三部分</w:t>
      </w:r>
      <w:r>
        <w:rPr>
          <w:rStyle w:val="24"/>
          <w:rFonts w:hint="eastAsia" w:ascii="黑体" w:hAnsi="黑体" w:eastAsia="黑体"/>
          <w:b w:val="0"/>
          <w:lang w:val="en-US" w:eastAsia="zh-CN"/>
        </w:rPr>
        <w:t xml:space="preserve">  </w:t>
      </w:r>
      <w:r>
        <w:rPr>
          <w:rFonts w:hint="eastAsia" w:ascii="黑体" w:hAnsi="黑体" w:eastAsia="黑体"/>
          <w:color w:val="000000"/>
          <w:sz w:val="44"/>
          <w:szCs w:val="44"/>
        </w:rPr>
        <w:t>名</w:t>
      </w:r>
      <w:r>
        <w:rPr>
          <w:rStyle w:val="24"/>
          <w:rFonts w:hint="eastAsia" w:ascii="黑体" w:hAnsi="黑体" w:eastAsia="黑体"/>
          <w:b w:val="0"/>
        </w:rPr>
        <w:t>词解释</w:t>
      </w:r>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其他普通教育支出</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bCs w:val="0"/>
          <w:color w:val="auto"/>
          <w:sz w:val="32"/>
          <w:szCs w:val="32"/>
        </w:rPr>
        <w:t>教育</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val="en-US" w:eastAsia="zh-CN"/>
        </w:rPr>
        <w:t>普通教育</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其他普通教育支出</w:t>
      </w:r>
      <w:r>
        <w:rPr>
          <w:rStyle w:val="14"/>
          <w:rFonts w:hint="eastAsia" w:ascii="仿宋_GB2312" w:hAnsi="仿宋_GB2312" w:eastAsia="仿宋_GB2312" w:cs="仿宋_GB2312"/>
          <w:b w:val="0"/>
          <w:bCs w:val="0"/>
          <w:color w:val="auto"/>
          <w:sz w:val="32"/>
          <w:szCs w:val="32"/>
        </w:rPr>
        <w:t>（项）</w:t>
      </w:r>
      <w:r>
        <w:rPr>
          <w:rFonts w:hint="eastAsia" w:ascii="仿宋_GB2312" w:hAnsi="仿宋_GB2312" w:eastAsia="仿宋_GB2312" w:cs="仿宋_GB2312"/>
          <w:b w:val="0"/>
          <w:bCs w:val="0"/>
          <w:color w:val="000000"/>
          <w:sz w:val="32"/>
          <w:szCs w:val="32"/>
        </w:rPr>
        <w:t>。</w:t>
      </w:r>
    </w:p>
    <w:p>
      <w:pPr>
        <w:ind w:firstLine="640" w:firstLineChars="200"/>
        <w:rPr>
          <w:rStyle w:val="14"/>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机关事业单位基本养老保险费支出</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bCs w:val="0"/>
          <w:color w:val="auto"/>
          <w:sz w:val="32"/>
          <w:szCs w:val="32"/>
        </w:rPr>
        <w:t>社会保障和就业</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行政事业单位养老支出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机关事业单位基本养老保险缴费支出</w:t>
      </w:r>
      <w:r>
        <w:rPr>
          <w:rStyle w:val="14"/>
          <w:rFonts w:hint="eastAsia" w:ascii="仿宋_GB2312" w:hAnsi="仿宋_GB2312" w:eastAsia="仿宋_GB2312" w:cs="仿宋_GB2312"/>
          <w:b w:val="0"/>
          <w:bCs w:val="0"/>
          <w:color w:val="auto"/>
          <w:sz w:val="32"/>
          <w:szCs w:val="32"/>
        </w:rPr>
        <w:t>（项）</w:t>
      </w:r>
      <w:r>
        <w:rPr>
          <w:rStyle w:val="14"/>
          <w:rFonts w:hint="eastAsia" w:ascii="仿宋_GB2312" w:hAnsi="仿宋_GB2312" w:eastAsia="仿宋_GB2312" w:cs="仿宋_GB2312"/>
          <w:b w:val="0"/>
          <w:bCs w:val="0"/>
          <w:color w:val="auto"/>
          <w:sz w:val="32"/>
          <w:szCs w:val="32"/>
          <w:lang w:eastAsia="zh-CN"/>
        </w:rPr>
        <w:t>，反映中心养老保险单位缴费支出；机关事业单位职业年金缴费支出</w:t>
      </w:r>
      <w:r>
        <w:rPr>
          <w:rFonts w:hint="eastAsia" w:ascii="仿宋_GB2312" w:hAnsi="仿宋_GB2312" w:eastAsia="仿宋_GB2312" w:cs="仿宋_GB2312"/>
          <w:b w:val="0"/>
          <w:bCs w:val="0"/>
          <w:color w:val="000000"/>
          <w:sz w:val="32"/>
          <w:szCs w:val="32"/>
        </w:rPr>
        <w:t>：指</w:t>
      </w:r>
      <w:r>
        <w:rPr>
          <w:rStyle w:val="14"/>
          <w:rFonts w:hint="eastAsia" w:ascii="仿宋_GB2312" w:hAnsi="仿宋_GB2312" w:eastAsia="仿宋_GB2312" w:cs="仿宋_GB2312"/>
          <w:b w:val="0"/>
          <w:bCs w:val="0"/>
          <w:color w:val="auto"/>
          <w:sz w:val="32"/>
          <w:szCs w:val="32"/>
        </w:rPr>
        <w:t>社会保障和就业</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行政事业单位养老支出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机关事业单位职业年金缴费支出</w:t>
      </w:r>
      <w:r>
        <w:rPr>
          <w:rStyle w:val="14"/>
          <w:rFonts w:hint="eastAsia" w:ascii="仿宋_GB2312" w:hAnsi="仿宋_GB2312" w:eastAsia="仿宋_GB2312" w:cs="仿宋_GB2312"/>
          <w:b w:val="0"/>
          <w:bCs w:val="0"/>
          <w:color w:val="auto"/>
          <w:sz w:val="32"/>
          <w:szCs w:val="32"/>
        </w:rPr>
        <w:t>（项）</w:t>
      </w:r>
      <w:r>
        <w:rPr>
          <w:rStyle w:val="14"/>
          <w:rFonts w:hint="eastAsia" w:ascii="仿宋_GB2312" w:hAnsi="仿宋_GB2312" w:eastAsia="仿宋_GB2312" w:cs="仿宋_GB2312"/>
          <w:b w:val="0"/>
          <w:bCs w:val="0"/>
          <w:color w:val="auto"/>
          <w:sz w:val="32"/>
          <w:szCs w:val="32"/>
          <w:lang w:eastAsia="zh-CN"/>
        </w:rPr>
        <w:t>，反映中心职业年金单位缴费支出。</w:t>
      </w:r>
    </w:p>
    <w:p>
      <w:pPr>
        <w:pStyle w:val="2"/>
        <w:ind w:firstLine="64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w:t>
      </w:r>
      <w:r>
        <w:rPr>
          <w:rFonts w:hint="eastAsia" w:hAnsi="仿宋_GB2312" w:cs="仿宋_GB2312"/>
          <w:b w:val="0"/>
          <w:bCs w:val="0"/>
          <w:color w:val="000000"/>
          <w:sz w:val="32"/>
          <w:szCs w:val="32"/>
          <w:lang w:eastAsia="zh-CN"/>
        </w:rPr>
        <w:t>事业单位医疗</w:t>
      </w:r>
      <w:r>
        <w:rPr>
          <w:rFonts w:hint="eastAsia" w:ascii="仿宋_GB2312" w:hAnsi="仿宋_GB2312" w:eastAsia="仿宋_GB2312" w:cs="仿宋_GB2312"/>
          <w:b w:val="0"/>
          <w:bCs w:val="0"/>
          <w:color w:val="000000"/>
          <w:sz w:val="32"/>
          <w:szCs w:val="32"/>
        </w:rPr>
        <w:t>：</w:t>
      </w:r>
      <w:r>
        <w:rPr>
          <w:rFonts w:hint="eastAsia" w:hAnsi="仿宋_GB2312" w:cs="仿宋_GB2312"/>
          <w:b w:val="0"/>
          <w:bCs w:val="0"/>
          <w:color w:val="000000"/>
          <w:sz w:val="32"/>
          <w:szCs w:val="32"/>
          <w:lang w:eastAsia="zh-CN"/>
        </w:rPr>
        <w:t>指卫生健康支出（类）行政事业单位医疗（款）事业单位医疗（项），反映中心基本医疗单位缴费支出。</w:t>
      </w:r>
    </w:p>
    <w:p>
      <w:pPr>
        <w:pStyle w:val="2"/>
        <w:ind w:firstLine="640"/>
        <w:rPr>
          <w:rStyle w:val="14"/>
          <w:rFonts w:hint="eastAsia" w:ascii="仿宋_GB2312" w:hAnsi="仿宋_GB2312" w:eastAsia="仿宋_GB2312" w:cs="仿宋_GB2312"/>
          <w:b w:val="0"/>
          <w:bCs w:val="0"/>
          <w:color w:val="auto"/>
          <w:sz w:val="32"/>
          <w:szCs w:val="32"/>
          <w:lang w:eastAsia="zh-CN"/>
        </w:rPr>
      </w:pPr>
      <w:r>
        <w:rPr>
          <w:rStyle w:val="14"/>
          <w:rFonts w:hint="eastAsia" w:hAnsi="仿宋_GB2312" w:cs="仿宋_GB2312"/>
          <w:b w:val="0"/>
          <w:bCs w:val="0"/>
          <w:color w:val="auto"/>
          <w:sz w:val="32"/>
          <w:szCs w:val="32"/>
          <w:lang w:val="en-US" w:eastAsia="zh-CN"/>
        </w:rPr>
        <w:t>5.住房公积金：</w:t>
      </w:r>
      <w:r>
        <w:rPr>
          <w:rFonts w:hint="eastAsia" w:ascii="仿宋_GB2312" w:hAnsi="仿宋_GB2312" w:eastAsia="仿宋_GB2312" w:cs="仿宋_GB2312"/>
          <w:b w:val="0"/>
          <w:bCs w:val="0"/>
          <w:color w:val="000000"/>
          <w:sz w:val="32"/>
          <w:szCs w:val="32"/>
        </w:rPr>
        <w:t>指</w:t>
      </w:r>
      <w:r>
        <w:rPr>
          <w:rStyle w:val="14"/>
          <w:rFonts w:hint="eastAsia" w:ascii="仿宋_GB2312" w:hAnsi="仿宋_GB2312" w:eastAsia="仿宋_GB2312" w:cs="仿宋_GB2312"/>
          <w:b w:val="0"/>
          <w:bCs w:val="0"/>
          <w:color w:val="auto"/>
          <w:sz w:val="32"/>
          <w:szCs w:val="32"/>
          <w:lang w:eastAsia="zh-CN"/>
        </w:rPr>
        <w:t>住房保障</w:t>
      </w:r>
      <w:r>
        <w:rPr>
          <w:rStyle w:val="14"/>
          <w:rFonts w:hint="eastAsia" w:hAnsi="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住房改革支出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住房公积金</w:t>
      </w:r>
      <w:r>
        <w:rPr>
          <w:rStyle w:val="14"/>
          <w:rFonts w:hint="eastAsia" w:ascii="仿宋_GB2312" w:hAnsi="仿宋_GB2312" w:eastAsia="仿宋_GB2312" w:cs="仿宋_GB2312"/>
          <w:b w:val="0"/>
          <w:bCs w:val="0"/>
          <w:color w:val="auto"/>
          <w:sz w:val="32"/>
          <w:szCs w:val="32"/>
        </w:rPr>
        <w:t>（项）</w:t>
      </w:r>
      <w:r>
        <w:rPr>
          <w:rStyle w:val="14"/>
          <w:rFonts w:hint="eastAsia" w:hAnsi="仿宋_GB2312" w:cs="仿宋_GB2312"/>
          <w:b w:val="0"/>
          <w:bCs w:val="0"/>
          <w:color w:val="auto"/>
          <w:sz w:val="32"/>
          <w:szCs w:val="32"/>
          <w:lang w:eastAsia="zh-CN"/>
        </w:rPr>
        <w:t>，反映中心住房公积金单位缴费支出</w:t>
      </w:r>
      <w:r>
        <w:rPr>
          <w:rStyle w:val="14"/>
          <w:rFonts w:hint="eastAsia" w:ascii="仿宋_GB2312" w:hAnsi="仿宋_GB2312" w:eastAsia="仿宋_GB2312" w:cs="仿宋_GB2312"/>
          <w:b w:val="0"/>
          <w:bCs w:val="0"/>
          <w:color w:val="auto"/>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lang w:val="en-US" w:eastAsia="zh-CN"/>
        </w:rPr>
        <w:t>6</w:t>
      </w:r>
      <w:r>
        <w:rPr>
          <w:rFonts w:ascii="仿宋_GB2312" w:eastAsia="仿宋_GB2312"/>
          <w:b w:val="0"/>
          <w:bCs w:val="0"/>
          <w:color w:val="000000"/>
          <w:sz w:val="32"/>
          <w:szCs w:val="32"/>
        </w:rPr>
        <w:t>.</w:t>
      </w:r>
      <w:r>
        <w:rPr>
          <w:rFonts w:hint="eastAsia" w:ascii="仿宋_GB2312" w:eastAsia="仿宋_GB2312"/>
          <w:b w:val="0"/>
          <w:bCs w:val="0"/>
          <w:color w:val="000000"/>
          <w:sz w:val="32"/>
          <w:szCs w:val="32"/>
        </w:rPr>
        <w:t>基本支出：指为保障机构正常运转、完成日常工作任</w:t>
      </w:r>
      <w:r>
        <w:rPr>
          <w:rFonts w:hint="eastAsia" w:ascii="仿宋_GB2312" w:eastAsia="仿宋_GB2312"/>
          <w:color w:val="000000"/>
          <w:sz w:val="32"/>
          <w:szCs w:val="32"/>
        </w:rPr>
        <w:t>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w:t>
      </w:r>
      <w:r>
        <w:rPr>
          <w:rFonts w:hint="eastAsia" w:ascii="仿宋_GB2312" w:eastAsia="仿宋_GB2312"/>
          <w:color w:val="auto"/>
          <w:sz w:val="32"/>
          <w:szCs w:val="32"/>
          <w:highlight w:val="none"/>
          <w:lang w:eastAsia="zh-CN"/>
        </w:rPr>
        <w:t>中心普通话水平测试工作</w:t>
      </w:r>
      <w:r>
        <w:rPr>
          <w:rFonts w:hint="eastAsia" w:ascii="仿宋_GB2312" w:eastAsia="仿宋_GB2312"/>
          <w:color w:val="auto"/>
          <w:sz w:val="32"/>
          <w:szCs w:val="32"/>
          <w:highlight w:val="none"/>
        </w:rPr>
        <w:t>发生的支出。</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p>
    <w:p>
      <w:pPr>
        <w:pStyle w:val="22"/>
        <w:spacing w:line="560" w:lineRule="exact"/>
        <w:ind w:firstLine="883" w:firstLineChars="200"/>
        <w:rPr>
          <w:rFonts w:ascii="仿宋_GB2312" w:eastAsia="仿宋_GB2312"/>
          <w:color w:val="auto"/>
          <w:sz w:val="32"/>
          <w:szCs w:val="32"/>
          <w:highlight w:val="none"/>
        </w:rPr>
      </w:pPr>
      <w:r>
        <w:rPr>
          <w:rFonts w:ascii="宋体"/>
          <w:b/>
          <w:color w:val="000000"/>
          <w:sz w:val="44"/>
          <w:szCs w:val="44"/>
        </w:rPr>
        <w:br w:type="page"/>
      </w:r>
    </w:p>
    <w:p>
      <w:pPr>
        <w:spacing w:line="600" w:lineRule="exact"/>
        <w:jc w:val="center"/>
        <w:outlineLvl w:val="0"/>
        <w:rPr>
          <w:rStyle w:val="24"/>
          <w:rFonts w:ascii="黑体" w:hAnsi="黑体" w:eastAsia="黑体"/>
          <w:b w:val="0"/>
          <w:color w:val="auto"/>
          <w:highlight w:val="none"/>
        </w:rPr>
      </w:pPr>
      <w:bookmarkStart w:id="49" w:name="_Toc15396614"/>
      <w:bookmarkStart w:id="50" w:name="_Toc15377226"/>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49"/>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绩效自评报告</w:t>
      </w:r>
      <w:r>
        <w:rPr>
          <w:rFonts w:hint="eastAsia" w:ascii="仿宋_GB2312" w:hAnsi="仿宋_GB2312" w:eastAsia="仿宋_GB2312" w:cs="仿宋_GB2312"/>
          <w:color w:val="auto"/>
          <w:sz w:val="32"/>
          <w:szCs w:val="32"/>
          <w:highlight w:val="none"/>
          <w:lang w:val="en-US" w:eastAsia="zh-CN"/>
        </w:rPr>
        <w:t xml:space="preserve">  中心未开展该项工作</w:t>
      </w:r>
    </w:p>
    <w:p>
      <w:pPr>
        <w:spacing w:line="600" w:lineRule="exact"/>
        <w:jc w:val="center"/>
        <w:outlineLvl w:val="0"/>
        <w:rPr>
          <w:rFonts w:hint="eastAsia" w:ascii="黑体" w:hAnsi="黑体" w:eastAsia="黑体"/>
          <w:color w:val="auto"/>
          <w:sz w:val="44"/>
          <w:szCs w:val="44"/>
          <w:highlight w:val="none"/>
        </w:rPr>
      </w:pPr>
      <w:bookmarkStart w:id="51"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0"/>
      <w:bookmarkEnd w:id="51"/>
      <w:bookmarkStart w:id="52"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2"/>
    </w:p>
    <w:p>
      <w:pPr>
        <w:pStyle w:val="4"/>
        <w:rPr>
          <w:rFonts w:ascii="仿宋" w:hAnsi="仿宋" w:eastAsia="仿宋"/>
          <w:color w:val="auto"/>
          <w:highlight w:val="none"/>
        </w:rPr>
      </w:pPr>
      <w:bookmarkStart w:id="53"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3"/>
    </w:p>
    <w:p>
      <w:pPr>
        <w:pStyle w:val="4"/>
        <w:rPr>
          <w:rFonts w:ascii="仿宋" w:hAnsi="仿宋" w:eastAsia="仿宋"/>
          <w:color w:val="auto"/>
          <w:highlight w:val="none"/>
        </w:rPr>
      </w:pPr>
      <w:bookmarkStart w:id="54"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4"/>
    </w:p>
    <w:p>
      <w:pPr>
        <w:pStyle w:val="4"/>
        <w:rPr>
          <w:rFonts w:ascii="仿宋" w:hAnsi="仿宋" w:eastAsia="仿宋"/>
          <w:b w:val="0"/>
          <w:color w:val="auto"/>
          <w:highlight w:val="none"/>
        </w:rPr>
      </w:pPr>
      <w:bookmarkStart w:id="55"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5"/>
    </w:p>
    <w:p>
      <w:pPr>
        <w:pStyle w:val="4"/>
        <w:rPr>
          <w:rStyle w:val="25"/>
          <w:rFonts w:ascii="仿宋" w:hAnsi="仿宋" w:eastAsia="仿宋"/>
          <w:b w:val="0"/>
          <w:bCs w:val="0"/>
          <w:color w:val="auto"/>
          <w:highlight w:val="none"/>
        </w:rPr>
      </w:pPr>
      <w:bookmarkStart w:id="56"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6"/>
      <w:bookmarkStart w:id="57"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7"/>
    </w:p>
    <w:p>
      <w:pPr>
        <w:pStyle w:val="4"/>
        <w:rPr>
          <w:rFonts w:ascii="仿宋" w:hAnsi="仿宋" w:eastAsia="仿宋"/>
          <w:color w:val="auto"/>
          <w:highlight w:val="none"/>
        </w:rPr>
      </w:pPr>
      <w:bookmarkStart w:id="58"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58"/>
    </w:p>
    <w:p>
      <w:pPr>
        <w:pStyle w:val="4"/>
        <w:rPr>
          <w:rFonts w:ascii="仿宋" w:hAnsi="仿宋" w:eastAsia="仿宋"/>
          <w:color w:val="auto"/>
          <w:highlight w:val="none"/>
        </w:rPr>
      </w:pPr>
      <w:bookmarkStart w:id="59"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59"/>
    </w:p>
    <w:p>
      <w:pPr>
        <w:pStyle w:val="4"/>
        <w:rPr>
          <w:rFonts w:ascii="仿宋" w:hAnsi="仿宋" w:eastAsia="仿宋"/>
          <w:color w:val="auto"/>
          <w:highlight w:val="none"/>
        </w:rPr>
      </w:pPr>
      <w:bookmarkStart w:id="60"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0"/>
    </w:p>
    <w:p>
      <w:pPr>
        <w:pStyle w:val="4"/>
        <w:rPr>
          <w:rFonts w:ascii="仿宋" w:hAnsi="仿宋" w:eastAsia="仿宋"/>
          <w:color w:val="auto"/>
          <w:highlight w:val="none"/>
        </w:rPr>
      </w:pPr>
      <w:bookmarkStart w:id="61"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1"/>
    </w:p>
    <w:p>
      <w:pPr>
        <w:pStyle w:val="4"/>
        <w:rPr>
          <w:rFonts w:ascii="仿宋" w:hAnsi="仿宋" w:eastAsia="仿宋"/>
          <w:color w:val="auto"/>
          <w:highlight w:val="none"/>
        </w:rPr>
      </w:pPr>
      <w:bookmarkStart w:id="62"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2"/>
    </w:p>
    <w:p>
      <w:pPr>
        <w:pStyle w:val="4"/>
        <w:rPr>
          <w:rFonts w:ascii="仿宋" w:hAnsi="仿宋" w:eastAsia="仿宋"/>
          <w:color w:val="auto"/>
          <w:highlight w:val="none"/>
        </w:rPr>
      </w:pPr>
      <w:bookmarkStart w:id="63"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3"/>
    </w:p>
    <w:p>
      <w:pPr>
        <w:pStyle w:val="4"/>
        <w:rPr>
          <w:rStyle w:val="25"/>
          <w:rFonts w:hint="eastAsia" w:ascii="仿宋" w:hAnsi="仿宋" w:eastAsia="仿宋"/>
          <w:b w:val="0"/>
          <w:bCs w:val="0"/>
          <w:color w:val="auto"/>
          <w:highlight w:val="none"/>
        </w:rPr>
      </w:pPr>
      <w:bookmarkStart w:id="64"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4"/>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02622539"/>
    <w:multiLevelType w:val="multilevel"/>
    <w:tmpl w:val="02622539"/>
    <w:lvl w:ilvl="0" w:tentative="0">
      <w:start w:val="1"/>
      <w:numFmt w:val="japaneseCounting"/>
      <w:lvlText w:val="（%1）"/>
      <w:lvlJc w:val="left"/>
      <w:pPr>
        <w:ind w:left="1723" w:hanging="1080"/>
      </w:pPr>
      <w:rPr>
        <w:rFonts w:hint="default" w:ascii="楷体_GB2312" w:hAnsi="楷体"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32F84A2"/>
    <w:multiLevelType w:val="singleLevel"/>
    <w:tmpl w:val="432F84A2"/>
    <w:lvl w:ilvl="0" w:tentative="0">
      <w:start w:val="1"/>
      <w:numFmt w:val="chineseCounting"/>
      <w:suff w:val="nothing"/>
      <w:lvlText w:val="%1、"/>
      <w:lvlJc w:val="left"/>
      <w:pPr>
        <w:ind w:left="63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DZmZjhhZTI1ZWQzZTBkMjQyODg5NDgxNWUyO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683FB9"/>
    <w:rsid w:val="0A2032A3"/>
    <w:rsid w:val="0B8A37D8"/>
    <w:rsid w:val="109B1457"/>
    <w:rsid w:val="10C055FF"/>
    <w:rsid w:val="118107EC"/>
    <w:rsid w:val="11DD6519"/>
    <w:rsid w:val="12BF1D09"/>
    <w:rsid w:val="16BB723D"/>
    <w:rsid w:val="18015F3F"/>
    <w:rsid w:val="190804A9"/>
    <w:rsid w:val="1BE8440E"/>
    <w:rsid w:val="1D155CEE"/>
    <w:rsid w:val="20F57F95"/>
    <w:rsid w:val="240371BF"/>
    <w:rsid w:val="25C741E6"/>
    <w:rsid w:val="27842671"/>
    <w:rsid w:val="282554DE"/>
    <w:rsid w:val="29FD04D3"/>
    <w:rsid w:val="2ABE7A3E"/>
    <w:rsid w:val="2EFA178C"/>
    <w:rsid w:val="30B46D73"/>
    <w:rsid w:val="319F7F4E"/>
    <w:rsid w:val="39AE70AB"/>
    <w:rsid w:val="3C0C0783"/>
    <w:rsid w:val="3F9F3A96"/>
    <w:rsid w:val="493C27E9"/>
    <w:rsid w:val="496F39ED"/>
    <w:rsid w:val="49FF41D3"/>
    <w:rsid w:val="4BE068DB"/>
    <w:rsid w:val="4BF6002B"/>
    <w:rsid w:val="4C9164E9"/>
    <w:rsid w:val="4ECE2238"/>
    <w:rsid w:val="51DB4B86"/>
    <w:rsid w:val="55333C3E"/>
    <w:rsid w:val="64CA39A1"/>
    <w:rsid w:val="69261334"/>
    <w:rsid w:val="6C4A05C8"/>
    <w:rsid w:val="72734D90"/>
    <w:rsid w:val="72F82D06"/>
    <w:rsid w:val="79E7B28D"/>
    <w:rsid w:val="7CA05A0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[工作簿1]Sheet2!$A$5</c:f>
              <c:strCache>
                <c:ptCount val="1"/>
                <c:pt idx="0">
                  <c:v>收入</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305.8</a:t>
                    </a:r>
                    <a:r>
                      <a:rPr lang="en-US" altLang="zh-CN" b="1"/>
                      <a:t>0</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[工作簿1]Sheet2!$B$4:$C$4</c:f>
              <c:strCache>
                <c:ptCount val="2"/>
                <c:pt idx="0">
                  <c:v>2020年</c:v>
                </c:pt>
                <c:pt idx="1">
                  <c:v>2021年</c:v>
                </c:pt>
              </c:strCache>
            </c:strRef>
          </c:cat>
          <c:val>
            <c:numRef>
              <c:f>[工作簿1]Sheet2!$B$5:$C$5</c:f>
              <c:numCache>
                <c:formatCode>General</c:formatCode>
                <c:ptCount val="2"/>
                <c:pt idx="0">
                  <c:v>308.71</c:v>
                </c:pt>
                <c:pt idx="1">
                  <c:v>305.8</c:v>
                </c:pt>
              </c:numCache>
            </c:numRef>
          </c:val>
        </c:ser>
        <c:ser>
          <c:idx val="1"/>
          <c:order val="1"/>
          <c:tx>
            <c:strRef>
              <c:f>[工作簿1]Sheet2!$A$6</c:f>
              <c:strCache>
                <c:ptCount val="1"/>
                <c:pt idx="0">
                  <c:v>支出</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305.8</a:t>
                    </a:r>
                    <a:r>
                      <a:rPr lang="en-US" altLang="zh-CN" b="1"/>
                      <a:t>0</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[工作簿1]Sheet2!$B$4:$C$4</c:f>
              <c:strCache>
                <c:ptCount val="2"/>
                <c:pt idx="0">
                  <c:v>2020年</c:v>
                </c:pt>
                <c:pt idx="1">
                  <c:v>2021年</c:v>
                </c:pt>
              </c:strCache>
            </c:strRef>
          </c:cat>
          <c:val>
            <c:numRef>
              <c:f>[工作簿1]Sheet2!$B$6:$C$6</c:f>
              <c:numCache>
                <c:formatCode>General</c:formatCode>
                <c:ptCount val="2"/>
                <c:pt idx="0">
                  <c:v>308.71</c:v>
                </c:pt>
                <c:pt idx="1">
                  <c:v>305.8</c:v>
                </c:pt>
              </c:numCache>
            </c:numRef>
          </c:val>
        </c:ser>
        <c:dLbls>
          <c:showLegendKey val="0"/>
          <c:showVal val="1"/>
          <c:showCatName val="0"/>
          <c:showSerName val="0"/>
          <c:showPercent val="0"/>
          <c:showBubbleSize val="0"/>
        </c:dLbls>
        <c:gapWidth val="219"/>
        <c:overlap val="-27"/>
        <c:axId val="25149792"/>
        <c:axId val="16016034"/>
      </c:barChart>
      <c:catAx>
        <c:axId val="25149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6034"/>
        <c:crosses val="autoZero"/>
        <c:auto val="1"/>
        <c:lblAlgn val="ctr"/>
        <c:lblOffset val="100"/>
        <c:noMultiLvlLbl val="0"/>
      </c:catAx>
      <c:valAx>
        <c:axId val="1601603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49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a:solidFill>
              <a:schemeClr val="accent1"/>
            </a:solidFill>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ctr"/>
            <c:showLegendKey val="1"/>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[工作簿1]Sheet2!$J$3</c:f>
              <c:strCache>
                <c:ptCount val="1"/>
                <c:pt idx="0">
                  <c:v>一般公共预算</c:v>
                </c:pt>
              </c:strCache>
            </c:strRef>
          </c:cat>
          <c:val>
            <c:numRef>
              <c:f>[工作簿1]Sheet2!$J$4</c:f>
              <c:numCache>
                <c:formatCode>General</c:formatCode>
                <c:ptCount val="1"/>
                <c:pt idx="0">
                  <c:v>305.8</c:v>
                </c:pt>
              </c:numCache>
            </c:numRef>
          </c:val>
        </c:ser>
        <c:dLbls>
          <c:showLegendKey val="1"/>
          <c:showVal val="1"/>
          <c:showCatName val="0"/>
          <c:showSerName val="0"/>
          <c:showPercent val="1"/>
          <c:showBubbleSize val="0"/>
          <c:showLeaderLines val="1"/>
        </c:dLbls>
        <c:firstSliceAng val="0"/>
      </c:pieChart>
      <c:spPr>
        <a:solidFill>
          <a:schemeClr val="bg1"/>
        </a:solidFill>
        <a:ln>
          <a:noFill/>
        </a:ln>
        <a:effectLst/>
      </c:spPr>
    </c:plotArea>
    <c:legend>
      <c:legendPos val="b"/>
      <c:layout>
        <c:manualLayout>
          <c:xMode val="edge"/>
          <c:yMode val="edge"/>
          <c:x val="0.3775"/>
          <c:y val="0.873842592592593"/>
          <c:w val="0.253194444444444"/>
          <c:h val="0.07754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292.449</a:t>
                    </a:r>
                    <a:r>
                      <a:rPr lang="en-US" altLang="zh-CN" b="1"/>
                      <a:t>5.63</a:t>
                    </a:r>
                    <a:r>
                      <a:rPr b="1"/>
                      <a:t>%</a:t>
                    </a:r>
                    <a:endParaRPr b="1"/>
                  </a:p>
                </c:rich>
              </c:tx>
              <c:dLblPos val="ctr"/>
              <c:showLegendKey val="1"/>
              <c:showVal val="1"/>
              <c:showCatName val="0"/>
              <c:showSerName val="0"/>
              <c:showPercent val="1"/>
              <c:showBubbleSize val="0"/>
              <c:separator>
</c:separator>
              <c:extLst>
                <c:ext xmlns:c15="http://schemas.microsoft.com/office/drawing/2012/chart" uri="{CE6537A1-D6FC-4f65-9D91-7224C49458BB}"/>
              </c:extLst>
            </c:dLbl>
            <c:dLbl>
              <c:idx val="1"/>
              <c:layout>
                <c:manualLayout>
                  <c:x val="0.0302479595593805"/>
                  <c:y val="0.0751582700706241"/>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13.364</a:t>
                    </a:r>
                    <a:r>
                      <a:rPr lang="en-US" altLang="zh-CN" b="1"/>
                      <a:t>.37</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ctr"/>
            <c:showLegendKey val="1"/>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[工作簿1]Sheet2!$P$6:$P$7</c:f>
              <c:strCache>
                <c:ptCount val="2"/>
                <c:pt idx="0">
                  <c:v>基本支出</c:v>
                </c:pt>
                <c:pt idx="1">
                  <c:v>项目支出</c:v>
                </c:pt>
              </c:strCache>
            </c:strRef>
          </c:cat>
          <c:val>
            <c:numRef>
              <c:f>[工作簿1]Sheet2!$Q$6:$Q$7</c:f>
              <c:numCache>
                <c:formatCode>General</c:formatCode>
                <c:ptCount val="2"/>
                <c:pt idx="0">
                  <c:v>292.44</c:v>
                </c:pt>
                <c:pt idx="1">
                  <c:v>13.36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[工作簿1]Sheet2!$A$5</c:f>
              <c:strCache>
                <c:ptCount val="1"/>
                <c:pt idx="0">
                  <c:v>收入</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t>305.8</a:t>
                    </a:r>
                    <a:r>
                      <a:rPr lang="en-US" altLang="zh-CN"/>
                      <a:t>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[工作簿1]Sheet2!$B$4:$C$4</c:f>
              <c:strCache>
                <c:ptCount val="2"/>
                <c:pt idx="0">
                  <c:v>2020年</c:v>
                </c:pt>
                <c:pt idx="1">
                  <c:v>2021年</c:v>
                </c:pt>
              </c:strCache>
            </c:strRef>
          </c:cat>
          <c:val>
            <c:numRef>
              <c:f>[工作簿1]Sheet2!$B$5:$C$5</c:f>
              <c:numCache>
                <c:formatCode>General</c:formatCode>
                <c:ptCount val="2"/>
                <c:pt idx="0">
                  <c:v>308.71</c:v>
                </c:pt>
                <c:pt idx="1">
                  <c:v>305.8</c:v>
                </c:pt>
              </c:numCache>
            </c:numRef>
          </c:val>
        </c:ser>
        <c:ser>
          <c:idx val="1"/>
          <c:order val="1"/>
          <c:tx>
            <c:strRef>
              <c:f>[工作簿1]Sheet2!$A$6</c:f>
              <c:strCache>
                <c:ptCount val="1"/>
                <c:pt idx="0">
                  <c:v>支出</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t>305.8</a:t>
                    </a:r>
                    <a:r>
                      <a:rPr lang="en-US" altLang="zh-CN"/>
                      <a:t>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[工作簿1]Sheet2!$B$4:$C$4</c:f>
              <c:strCache>
                <c:ptCount val="2"/>
                <c:pt idx="0">
                  <c:v>2020年</c:v>
                </c:pt>
                <c:pt idx="1">
                  <c:v>2021年</c:v>
                </c:pt>
              </c:strCache>
            </c:strRef>
          </c:cat>
          <c:val>
            <c:numRef>
              <c:f>[工作簿1]Sheet2!$B$6:$C$6</c:f>
              <c:numCache>
                <c:formatCode>General</c:formatCode>
                <c:ptCount val="2"/>
                <c:pt idx="0">
                  <c:v>308.71</c:v>
                </c:pt>
                <c:pt idx="1">
                  <c:v>305.8</c:v>
                </c:pt>
              </c:numCache>
            </c:numRef>
          </c:val>
        </c:ser>
        <c:dLbls>
          <c:showLegendKey val="0"/>
          <c:showVal val="1"/>
          <c:showCatName val="0"/>
          <c:showSerName val="0"/>
          <c:showPercent val="0"/>
          <c:showBubbleSize val="0"/>
        </c:dLbls>
        <c:gapWidth val="219"/>
        <c:overlap val="-27"/>
        <c:axId val="25149792"/>
        <c:axId val="16016034"/>
      </c:barChart>
      <c:catAx>
        <c:axId val="25149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6034"/>
        <c:crosses val="autoZero"/>
        <c:auto val="1"/>
        <c:lblAlgn val="ctr"/>
        <c:lblOffset val="100"/>
        <c:noMultiLvlLbl val="0"/>
      </c:catAx>
      <c:valAx>
        <c:axId val="1601603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49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1"/>
          <c:order val="0"/>
          <c:tx>
            <c:strRef>
              <c:f>[工作簿1]Sheet2!$A$6</c:f>
              <c:strCache>
                <c:ptCount val="1"/>
                <c:pt idx="0">
                  <c:v>支出</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t>305.8</a:t>
                    </a:r>
                    <a:r>
                      <a:rPr lang="en-US" altLang="zh-CN"/>
                      <a:t>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[工作簿1]Sheet2!$B$4:$C$4</c:f>
              <c:strCache>
                <c:ptCount val="2"/>
                <c:pt idx="0">
                  <c:v>2020年</c:v>
                </c:pt>
                <c:pt idx="1">
                  <c:v>2021年</c:v>
                </c:pt>
              </c:strCache>
            </c:strRef>
          </c:cat>
          <c:val>
            <c:numRef>
              <c:f>[工作簿1]Sheet2!$B$6:$C$6</c:f>
              <c:numCache>
                <c:formatCode>General</c:formatCode>
                <c:ptCount val="2"/>
                <c:pt idx="0">
                  <c:v>308.71</c:v>
                </c:pt>
                <c:pt idx="1">
                  <c:v>305.8</c:v>
                </c:pt>
              </c:numCache>
            </c:numRef>
          </c:val>
        </c:ser>
        <c:dLbls>
          <c:showLegendKey val="0"/>
          <c:showVal val="1"/>
          <c:showCatName val="0"/>
          <c:showSerName val="0"/>
          <c:showPercent val="0"/>
          <c:showBubbleSize val="0"/>
        </c:dLbls>
        <c:gapWidth val="219"/>
        <c:overlap val="-27"/>
        <c:axId val="25149792"/>
        <c:axId val="16016034"/>
      </c:barChart>
      <c:catAx>
        <c:axId val="25149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6034"/>
        <c:crosses val="autoZero"/>
        <c:auto val="1"/>
        <c:lblAlgn val="ctr"/>
        <c:lblOffset val="100"/>
        <c:noMultiLvlLbl val="0"/>
      </c:catAx>
      <c:valAx>
        <c:axId val="1601603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49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12189470974385"/>
          <c:y val="0.032600258969309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292588509383644"/>
                  <c:y val="-0.219986340667773"/>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284.6493</a:t>
                    </a:r>
                    <a:r>
                      <a:rPr lang="en-US" altLang="zh-CN" b="1"/>
                      <a:t>.08</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0.0280537560814913"/>
                  <c:y val="0.0854296838461178"/>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10.613</a:t>
                    </a:r>
                    <a:r>
                      <a:rPr lang="en-US" altLang="zh-CN" b="1"/>
                      <a:t>.47</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0.0198734559643497"/>
                  <c:y val="0.161416257190144"/>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4.86</a:t>
                    </a:r>
                    <a:endParaRPr b="1"/>
                  </a:p>
                  <a:p>
                    <a:pPr defTabSz="914400">
                      <a:defRPr lang="zh-CN" sz="900" b="1" i="0" u="none" strike="noStrike" kern="1200" baseline="0">
                        <a:solidFill>
                          <a:schemeClr val="tx1">
                            <a:lumMod val="75000"/>
                            <a:lumOff val="25000"/>
                          </a:schemeClr>
                        </a:solidFill>
                        <a:latin typeface="+mn-lt"/>
                        <a:ea typeface="+mn-ea"/>
                        <a:cs typeface="+mn-cs"/>
                      </a:defRPr>
                    </a:pPr>
                    <a:r>
                      <a:rPr lang="en-US" altLang="zh-CN" b="1"/>
                      <a:t>1.59</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0.0259893052274909"/>
                  <c:y val="0.0820852630332237"/>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5.69</a:t>
                    </a:r>
                    <a:endParaRPr b="1"/>
                  </a:p>
                  <a:p>
                    <a:pPr defTabSz="914400">
                      <a:defRPr lang="zh-CN" sz="900" b="1" i="0" u="none" strike="noStrike" kern="1200" baseline="0">
                        <a:solidFill>
                          <a:schemeClr val="tx1">
                            <a:lumMod val="75000"/>
                            <a:lumOff val="25000"/>
                          </a:schemeClr>
                        </a:solidFill>
                        <a:latin typeface="+mn-lt"/>
                        <a:ea typeface="+mn-ea"/>
                        <a:cs typeface="+mn-cs"/>
                      </a:defRPr>
                    </a:pPr>
                    <a:r>
                      <a:rPr lang="en-US" altLang="zh-CN" b="1"/>
                      <a:t>1.86</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manualLayout>
                      <c:w val="0.101814905393229"/>
                      <c:h val="0.125644911236622"/>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1"/>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[工作簿1]Sheet2!$R$32:$R$35</c:f>
              <c:strCache>
                <c:ptCount val="4"/>
                <c:pt idx="0">
                  <c:v>教育支出（类）</c:v>
                </c:pt>
                <c:pt idx="1">
                  <c:v>社会保障和就业（类）</c:v>
                </c:pt>
                <c:pt idx="2">
                  <c:v>卫生健康支出</c:v>
                </c:pt>
                <c:pt idx="3">
                  <c:v>住房保障支出</c:v>
                </c:pt>
              </c:strCache>
            </c:strRef>
          </c:cat>
          <c:val>
            <c:numRef>
              <c:f>[工作簿1]Sheet2!$S$32:$S$35</c:f>
              <c:numCache>
                <c:formatCode>General</c:formatCode>
                <c:ptCount val="4"/>
                <c:pt idx="0">
                  <c:v>284.64</c:v>
                </c:pt>
                <c:pt idx="1">
                  <c:v>10.61</c:v>
                </c:pt>
                <c:pt idx="2">
                  <c:v>4.86</c:v>
                </c:pt>
                <c:pt idx="3">
                  <c:v>5.69</c:v>
                </c:pt>
              </c:numCache>
            </c:numRef>
          </c:val>
        </c:ser>
        <c:dLbls>
          <c:showLegendKey val="1"/>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627579946497634"/>
                  <c:y val="-0.269133101402475"/>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0.6788</a:t>
                    </a:r>
                    <a:r>
                      <a:rPr lang="en-US" altLang="zh-CN" b="1"/>
                      <a:t>.16</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0.0463500610907694"/>
                  <c:y val="0.147605329566484"/>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0.091</a:t>
                    </a:r>
                    <a:r>
                      <a:rPr lang="en-US" altLang="zh-CN" b="1"/>
                      <a:t>1.84</a:t>
                    </a:r>
                    <a:r>
                      <a:rPr b="1"/>
                      <a:t>%</a:t>
                    </a:r>
                    <a:endParaRPr b="1"/>
                  </a:p>
                </c:rich>
              </c:tx>
              <c:dLblPos val="bestFit"/>
              <c:showLegendKey val="1"/>
              <c:showVal val="1"/>
              <c:showCatName val="0"/>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[工作簿1]Sheet2!$F$68:$F$69</c:f>
              <c:strCache>
                <c:ptCount val="2"/>
                <c:pt idx="0">
                  <c:v>公务用车购置及运行维护费支出决算</c:v>
                </c:pt>
                <c:pt idx="1">
                  <c:v>公务接待费支出决算</c:v>
                </c:pt>
              </c:strCache>
            </c:strRef>
          </c:cat>
          <c:val>
            <c:numRef>
              <c:f>[工作簿1]Sheet2!$G$68:$G$69</c:f>
              <c:numCache>
                <c:formatCode>General</c:formatCode>
                <c:ptCount val="2"/>
                <c:pt idx="0">
                  <c:v>0.67</c:v>
                </c:pt>
                <c:pt idx="1">
                  <c:v>0.09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7099</Words>
  <Characters>8283</Characters>
  <Lines>61</Lines>
  <Paragraphs>17</Paragraphs>
  <TotalTime>30</TotalTime>
  <ScaleCrop>false</ScaleCrop>
  <LinksUpToDate>false</LinksUpToDate>
  <CharactersWithSpaces>8315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hqz</cp:lastModifiedBy>
  <cp:lastPrinted>2022-08-06T02:23:00Z</cp:lastPrinted>
  <dcterms:modified xsi:type="dcterms:W3CDTF">2022-11-14T02:43:12Z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F1E56546DEBA47678F106AAB7EFB2A01</vt:lpwstr>
  </property>
</Properties>
</file>