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E3" w:rsidRDefault="00A60EEF">
      <w:pPr>
        <w:spacing w:line="600" w:lineRule="exact"/>
        <w:jc w:val="left"/>
        <w:outlineLvl w:val="0"/>
        <w:rPr>
          <w:rFonts w:ascii="方正小标宋简体" w:eastAsia="方正小标宋简体" w:hAnsi="宋体"/>
          <w:sz w:val="28"/>
          <w:szCs w:val="28"/>
        </w:rPr>
      </w:pPr>
      <w:bookmarkStart w:id="0" w:name="_Toc15306267"/>
      <w:r>
        <w:rPr>
          <w:rFonts w:ascii="方正小标宋简体" w:eastAsia="方正小标宋简体" w:hAnsi="宋体" w:hint="eastAsia"/>
          <w:sz w:val="28"/>
          <w:szCs w:val="28"/>
        </w:rPr>
        <w:t>附件</w:t>
      </w:r>
      <w:r>
        <w:rPr>
          <w:rFonts w:ascii="方正小标宋简体" w:eastAsia="方正小标宋简体" w:hAnsi="宋体" w:hint="eastAsia"/>
          <w:sz w:val="28"/>
          <w:szCs w:val="28"/>
        </w:rPr>
        <w:t>4</w:t>
      </w:r>
    </w:p>
    <w:p w:rsidR="001767E3" w:rsidRDefault="001767E3">
      <w:pPr>
        <w:spacing w:line="600" w:lineRule="exact"/>
        <w:jc w:val="left"/>
        <w:outlineLvl w:val="0"/>
        <w:rPr>
          <w:rFonts w:ascii="方正小标宋简体" w:eastAsia="方正小标宋简体" w:hAnsi="宋体"/>
          <w:szCs w:val="21"/>
        </w:rPr>
      </w:pPr>
    </w:p>
    <w:p w:rsidR="001767E3" w:rsidRDefault="001767E3">
      <w:pPr>
        <w:spacing w:line="600" w:lineRule="exact"/>
        <w:outlineLvl w:val="0"/>
        <w:rPr>
          <w:rFonts w:ascii="方正小标宋简体" w:eastAsia="方正小标宋简体" w:hAnsi="宋体"/>
          <w:sz w:val="72"/>
          <w:szCs w:val="72"/>
        </w:rPr>
      </w:pPr>
    </w:p>
    <w:p w:rsidR="001767E3" w:rsidRDefault="00A60EE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8441"/>
      <w:bookmarkStart w:id="2" w:name="_Toc15396597"/>
      <w:bookmarkStart w:id="3" w:name="_Toc15377193"/>
      <w:bookmarkStart w:id="4" w:name="_Toc15396475"/>
      <w:bookmarkStart w:id="5" w:name="_Toc15377425"/>
      <w:r>
        <w:rPr>
          <w:rFonts w:ascii="方正小标宋简体" w:eastAsia="方正小标宋简体" w:hAnsi="方正小标宋简体" w:cs="方正小标宋简体" w:hint="eastAsia"/>
          <w:sz w:val="72"/>
          <w:szCs w:val="72"/>
        </w:rPr>
        <w:t>2022</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1767E3" w:rsidRDefault="00A60EEF">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教育厅机关服务中心单位决算</w:t>
      </w:r>
      <w:bookmarkEnd w:id="6"/>
      <w:bookmarkEnd w:id="7"/>
      <w:bookmarkEnd w:id="8"/>
      <w:bookmarkEnd w:id="9"/>
      <w:bookmarkEnd w:id="10"/>
      <w:bookmarkEnd w:id="11"/>
    </w:p>
    <w:p w:rsidR="001767E3" w:rsidRDefault="00A60EEF">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1767E3" w:rsidRDefault="001767E3">
      <w:pPr>
        <w:widowControl/>
        <w:jc w:val="center"/>
        <w:rPr>
          <w:rFonts w:ascii="黑体" w:eastAsia="黑体" w:hAnsi="黑体" w:cstheme="minorBidi"/>
          <w:sz w:val="28"/>
          <w:szCs w:val="28"/>
        </w:rPr>
      </w:pPr>
    </w:p>
    <w:p w:rsidR="001767E3" w:rsidRDefault="00A60EEF">
      <w:pPr>
        <w:pStyle w:val="10"/>
      </w:pPr>
      <w:r>
        <w:rPr>
          <w:rFonts w:hint="eastAsia"/>
        </w:rPr>
        <w:t>公开时间：</w:t>
      </w:r>
      <w:r>
        <w:rPr>
          <w:rFonts w:hint="eastAsia"/>
        </w:rPr>
        <w:t>2023</w:t>
      </w:r>
      <w:r>
        <w:rPr>
          <w:rFonts w:hint="eastAsia"/>
        </w:rPr>
        <w:t>年</w:t>
      </w:r>
      <w:r>
        <w:rPr>
          <w:rFonts w:hint="eastAsia"/>
        </w:rPr>
        <w:t>9</w:t>
      </w:r>
      <w:r>
        <w:rPr>
          <w:rFonts w:hint="eastAsia"/>
        </w:rPr>
        <w:t>月</w:t>
      </w:r>
      <w:r>
        <w:rPr>
          <w:rFonts w:hint="eastAsia"/>
        </w:rPr>
        <w:t>6</w:t>
      </w:r>
      <w:r>
        <w:rPr>
          <w:rFonts w:hint="eastAsia"/>
        </w:rPr>
        <w:t>日</w:t>
      </w:r>
    </w:p>
    <w:p w:rsidR="001767E3" w:rsidRDefault="001767E3"/>
    <w:p w:rsidR="001767E3" w:rsidRDefault="00A60EEF">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rsidR="001767E3" w:rsidRDefault="00A60EEF">
      <w:pPr>
        <w:pStyle w:val="20"/>
        <w:adjustRightInd w:val="0"/>
        <w:snapToGrid w:val="0"/>
        <w:spacing w:line="440" w:lineRule="exact"/>
        <w:jc w:val="left"/>
        <w:rPr>
          <w:sz w:val="24"/>
        </w:rPr>
      </w:pPr>
      <w:r>
        <w:rPr>
          <w:rFonts w:hint="eastAsia"/>
          <w:sz w:val="24"/>
        </w:rPr>
        <w:t>一、主要职责</w:t>
      </w:r>
    </w:p>
    <w:p w:rsidR="001767E3" w:rsidRDefault="00A60EEF">
      <w:pPr>
        <w:pStyle w:val="20"/>
        <w:adjustRightInd w:val="0"/>
        <w:snapToGrid w:val="0"/>
        <w:spacing w:line="440" w:lineRule="exact"/>
        <w:jc w:val="left"/>
      </w:pPr>
      <w:r>
        <w:rPr>
          <w:rFonts w:hint="eastAsia"/>
          <w:sz w:val="24"/>
        </w:rPr>
        <w:t>二、机构设置</w:t>
      </w:r>
    </w:p>
    <w:p w:rsidR="001767E3" w:rsidRDefault="00A60EEF">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2022</w:t>
      </w:r>
      <w:r>
        <w:rPr>
          <w:rFonts w:hint="eastAsia"/>
          <w:sz w:val="24"/>
        </w:rPr>
        <w:t>年度单位决算情况说明</w:t>
      </w:r>
    </w:p>
    <w:p w:rsidR="001767E3" w:rsidRDefault="00A60EEF">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rsidR="001767E3" w:rsidRDefault="00A60EEF">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rsidR="001767E3" w:rsidRDefault="00A60EEF">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rsidR="001767E3" w:rsidRDefault="00A60EEF">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rsidR="001767E3" w:rsidRDefault="00A60EEF">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rsidR="001767E3" w:rsidRDefault="00A60EEF">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rsidR="001767E3" w:rsidRDefault="00A60EEF">
      <w:pPr>
        <w:pStyle w:val="20"/>
        <w:adjustRightInd w:val="0"/>
        <w:snapToGrid w:val="0"/>
        <w:spacing w:line="440" w:lineRule="exact"/>
        <w:jc w:val="left"/>
        <w:rPr>
          <w:rFonts w:ascii="仿宋" w:eastAsia="仿宋" w:hAnsi="仿宋" w:cstheme="minorBidi"/>
          <w:sz w:val="24"/>
        </w:rPr>
      </w:pPr>
      <w:r>
        <w:rPr>
          <w:rFonts w:hint="eastAsia"/>
          <w:sz w:val="24"/>
        </w:rPr>
        <w:t>七、财政拨款“三公”经费支出决算情况说明</w:t>
      </w:r>
    </w:p>
    <w:p w:rsidR="001767E3" w:rsidRDefault="00A60EEF">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rsidR="001767E3" w:rsidRDefault="00A60EEF">
      <w:pPr>
        <w:pStyle w:val="20"/>
        <w:adjustRightInd w:val="0"/>
        <w:snapToGrid w:val="0"/>
        <w:spacing w:line="440" w:lineRule="exact"/>
        <w:jc w:val="left"/>
        <w:rPr>
          <w:sz w:val="24"/>
        </w:rPr>
      </w:pPr>
      <w:r>
        <w:rPr>
          <w:rFonts w:hint="eastAsia"/>
          <w:sz w:val="24"/>
        </w:rPr>
        <w:t>九、国有资本经营预算支出决算情况说明</w:t>
      </w:r>
    </w:p>
    <w:p w:rsidR="001767E3" w:rsidRDefault="00A60EEF">
      <w:pPr>
        <w:pStyle w:val="20"/>
        <w:adjustRightInd w:val="0"/>
        <w:snapToGrid w:val="0"/>
        <w:spacing w:line="440" w:lineRule="exact"/>
        <w:jc w:val="left"/>
        <w:rPr>
          <w:sz w:val="24"/>
        </w:rPr>
      </w:pPr>
      <w:r>
        <w:rPr>
          <w:rFonts w:hint="eastAsia"/>
          <w:sz w:val="24"/>
        </w:rPr>
        <w:t>十、其他重要事项的情况说明</w:t>
      </w:r>
    </w:p>
    <w:p w:rsidR="001767E3" w:rsidRDefault="00A60EEF">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rsidR="001767E3" w:rsidRDefault="00A60EEF">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rsidR="001767E3" w:rsidRDefault="00A60EEF">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rsidR="001767E3" w:rsidRDefault="00A60EEF">
      <w:pPr>
        <w:pStyle w:val="20"/>
        <w:adjustRightInd w:val="0"/>
        <w:snapToGrid w:val="0"/>
        <w:spacing w:line="440" w:lineRule="exact"/>
        <w:jc w:val="left"/>
        <w:rPr>
          <w:sz w:val="24"/>
        </w:rPr>
      </w:pPr>
      <w:r>
        <w:rPr>
          <w:rFonts w:hint="eastAsia"/>
          <w:sz w:val="24"/>
        </w:rPr>
        <w:t>一、收入支出决算总表</w:t>
      </w:r>
    </w:p>
    <w:p w:rsidR="001767E3" w:rsidRDefault="00A60EEF">
      <w:pPr>
        <w:pStyle w:val="20"/>
        <w:adjustRightInd w:val="0"/>
        <w:snapToGrid w:val="0"/>
        <w:spacing w:line="440" w:lineRule="exact"/>
        <w:jc w:val="left"/>
        <w:rPr>
          <w:sz w:val="24"/>
        </w:rPr>
      </w:pPr>
      <w:r>
        <w:rPr>
          <w:rFonts w:hint="eastAsia"/>
          <w:sz w:val="24"/>
        </w:rPr>
        <w:t>二、收入决算表</w:t>
      </w:r>
    </w:p>
    <w:p w:rsidR="001767E3" w:rsidRDefault="00A60EEF">
      <w:pPr>
        <w:pStyle w:val="20"/>
        <w:adjustRightInd w:val="0"/>
        <w:snapToGrid w:val="0"/>
        <w:spacing w:line="440" w:lineRule="exact"/>
        <w:jc w:val="left"/>
        <w:rPr>
          <w:sz w:val="24"/>
        </w:rPr>
      </w:pPr>
      <w:r>
        <w:rPr>
          <w:rFonts w:hint="eastAsia"/>
          <w:sz w:val="24"/>
        </w:rPr>
        <w:t>三、支出决算表</w:t>
      </w:r>
    </w:p>
    <w:p w:rsidR="001767E3" w:rsidRDefault="00A60EEF">
      <w:pPr>
        <w:pStyle w:val="20"/>
        <w:adjustRightInd w:val="0"/>
        <w:snapToGrid w:val="0"/>
        <w:spacing w:line="440" w:lineRule="exact"/>
        <w:jc w:val="left"/>
        <w:rPr>
          <w:sz w:val="24"/>
        </w:rPr>
      </w:pPr>
      <w:r>
        <w:rPr>
          <w:rFonts w:hint="eastAsia"/>
          <w:sz w:val="24"/>
        </w:rPr>
        <w:t>四、财政拨款收入支出决算总表</w:t>
      </w:r>
    </w:p>
    <w:p w:rsidR="001767E3" w:rsidRDefault="00A60EEF">
      <w:pPr>
        <w:pStyle w:val="20"/>
        <w:adjustRightInd w:val="0"/>
        <w:snapToGrid w:val="0"/>
        <w:spacing w:line="440" w:lineRule="exact"/>
        <w:jc w:val="left"/>
        <w:rPr>
          <w:sz w:val="24"/>
        </w:rPr>
      </w:pPr>
      <w:r>
        <w:rPr>
          <w:rFonts w:hint="eastAsia"/>
          <w:sz w:val="24"/>
        </w:rPr>
        <w:t>五、财政拨款支出决算明细表</w:t>
      </w:r>
    </w:p>
    <w:p w:rsidR="001767E3" w:rsidRDefault="00A60EEF">
      <w:pPr>
        <w:pStyle w:val="20"/>
        <w:adjustRightInd w:val="0"/>
        <w:snapToGrid w:val="0"/>
        <w:spacing w:line="440" w:lineRule="exact"/>
        <w:jc w:val="left"/>
        <w:rPr>
          <w:sz w:val="24"/>
        </w:rPr>
      </w:pPr>
      <w:r>
        <w:rPr>
          <w:rFonts w:hint="eastAsia"/>
          <w:sz w:val="24"/>
        </w:rPr>
        <w:t>六、一般公共预算财政拨款支出决算表</w:t>
      </w:r>
    </w:p>
    <w:p w:rsidR="001767E3" w:rsidRDefault="00A60EEF">
      <w:pPr>
        <w:pStyle w:val="20"/>
        <w:adjustRightInd w:val="0"/>
        <w:snapToGrid w:val="0"/>
        <w:spacing w:line="440" w:lineRule="exact"/>
        <w:jc w:val="left"/>
        <w:rPr>
          <w:sz w:val="24"/>
        </w:rPr>
      </w:pPr>
      <w:r>
        <w:rPr>
          <w:rFonts w:hint="eastAsia"/>
          <w:sz w:val="24"/>
        </w:rPr>
        <w:t>七、一般公共预算财政拨款支出决算明细表</w:t>
      </w:r>
    </w:p>
    <w:p w:rsidR="001767E3" w:rsidRDefault="00A60EEF">
      <w:pPr>
        <w:pStyle w:val="20"/>
        <w:adjustRightInd w:val="0"/>
        <w:snapToGrid w:val="0"/>
        <w:spacing w:line="440" w:lineRule="exact"/>
        <w:jc w:val="left"/>
        <w:rPr>
          <w:sz w:val="24"/>
        </w:rPr>
      </w:pPr>
      <w:r>
        <w:rPr>
          <w:rFonts w:hint="eastAsia"/>
          <w:sz w:val="24"/>
        </w:rPr>
        <w:t>八、一般公共预算财政拨款基本支出决算明细表</w:t>
      </w:r>
    </w:p>
    <w:p w:rsidR="001767E3" w:rsidRDefault="00A60EEF">
      <w:pPr>
        <w:pStyle w:val="20"/>
        <w:adjustRightInd w:val="0"/>
        <w:snapToGrid w:val="0"/>
        <w:spacing w:line="440" w:lineRule="exact"/>
        <w:jc w:val="left"/>
        <w:rPr>
          <w:sz w:val="24"/>
        </w:rPr>
      </w:pPr>
      <w:r>
        <w:rPr>
          <w:rFonts w:hint="eastAsia"/>
          <w:sz w:val="24"/>
        </w:rPr>
        <w:t>九、一般公共预算财政拨款项目支出决算表</w:t>
      </w:r>
    </w:p>
    <w:p w:rsidR="001767E3" w:rsidRDefault="00A60EEF">
      <w:pPr>
        <w:pStyle w:val="20"/>
        <w:adjustRightInd w:val="0"/>
        <w:snapToGrid w:val="0"/>
        <w:spacing w:line="440" w:lineRule="exact"/>
        <w:jc w:val="left"/>
        <w:rPr>
          <w:sz w:val="24"/>
        </w:rPr>
      </w:pPr>
      <w:r>
        <w:rPr>
          <w:rFonts w:hint="eastAsia"/>
          <w:sz w:val="24"/>
        </w:rPr>
        <w:lastRenderedPageBreak/>
        <w:t>十、政府性基金预算财政拨款收入支出决算表</w:t>
      </w:r>
    </w:p>
    <w:p w:rsidR="001767E3" w:rsidRDefault="00A60EEF">
      <w:pPr>
        <w:pStyle w:val="20"/>
        <w:adjustRightInd w:val="0"/>
        <w:snapToGrid w:val="0"/>
        <w:spacing w:line="440" w:lineRule="exact"/>
        <w:jc w:val="left"/>
        <w:rPr>
          <w:sz w:val="24"/>
        </w:rPr>
      </w:pPr>
      <w:r>
        <w:rPr>
          <w:rFonts w:hint="eastAsia"/>
          <w:sz w:val="24"/>
        </w:rPr>
        <w:t>十一、国有资本经营预算财政拨款收入支出决算表</w:t>
      </w:r>
    </w:p>
    <w:p w:rsidR="001767E3" w:rsidRDefault="00A60EEF">
      <w:pPr>
        <w:pStyle w:val="20"/>
        <w:adjustRightInd w:val="0"/>
        <w:snapToGrid w:val="0"/>
        <w:spacing w:line="440" w:lineRule="exact"/>
        <w:jc w:val="left"/>
        <w:rPr>
          <w:sz w:val="24"/>
        </w:rPr>
      </w:pPr>
      <w:r>
        <w:rPr>
          <w:rFonts w:hint="eastAsia"/>
          <w:sz w:val="24"/>
        </w:rPr>
        <w:t>十二、国有资本经营预算财政拨款支出决算表</w:t>
      </w:r>
    </w:p>
    <w:p w:rsidR="001767E3" w:rsidRDefault="00A60EEF">
      <w:pPr>
        <w:pStyle w:val="20"/>
        <w:adjustRightInd w:val="0"/>
        <w:snapToGrid w:val="0"/>
        <w:spacing w:line="440" w:lineRule="exact"/>
        <w:jc w:val="left"/>
        <w:rPr>
          <w:sz w:val="24"/>
        </w:rPr>
      </w:pPr>
      <w:r>
        <w:rPr>
          <w:rFonts w:hint="eastAsia"/>
          <w:sz w:val="24"/>
        </w:rPr>
        <w:t>十三、财政拨款“三公”经费支出</w:t>
      </w:r>
      <w:r>
        <w:rPr>
          <w:rFonts w:hint="eastAsia"/>
          <w:sz w:val="24"/>
        </w:rPr>
        <w:t>决算表</w:t>
      </w:r>
    </w:p>
    <w:p w:rsidR="001767E3" w:rsidRDefault="00A60EEF">
      <w:pPr>
        <w:widowControl/>
        <w:adjustRightInd w:val="0"/>
        <w:snapToGrid w:val="0"/>
        <w:spacing w:line="440" w:lineRule="exact"/>
        <w:ind w:firstLineChars="550" w:firstLine="1320"/>
        <w:jc w:val="left"/>
        <w:rPr>
          <w:rFonts w:ascii="仿宋" w:eastAsia="仿宋" w:hAnsi="仿宋"/>
          <w:sz w:val="24"/>
        </w:rPr>
      </w:pPr>
      <w:r>
        <w:rPr>
          <w:rFonts w:ascii="仿宋" w:eastAsia="仿宋" w:hAnsi="仿宋"/>
          <w:sz w:val="24"/>
        </w:rPr>
        <w:t>(</w:t>
      </w:r>
      <w:r>
        <w:rPr>
          <w:rFonts w:ascii="仿宋" w:eastAsia="仿宋" w:hAnsi="仿宋"/>
          <w:sz w:val="24"/>
        </w:rPr>
        <w:t>注：</w:t>
      </w:r>
      <w:r>
        <w:rPr>
          <w:rFonts w:ascii="仿宋" w:eastAsia="仿宋" w:hAnsi="仿宋" w:hint="eastAsia"/>
          <w:sz w:val="24"/>
        </w:rPr>
        <w:t>请单位根据实际注明页码</w:t>
      </w:r>
      <w:r>
        <w:rPr>
          <w:rFonts w:ascii="仿宋" w:eastAsia="仿宋" w:hAnsi="仿宋"/>
          <w:sz w:val="24"/>
        </w:rPr>
        <w:t>)</w:t>
      </w:r>
    </w:p>
    <w:p w:rsidR="001767E3" w:rsidRDefault="00A60EEF">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1767E3" w:rsidRDefault="00A60EEF">
      <w:pPr>
        <w:pStyle w:val="1"/>
        <w:jc w:val="center"/>
        <w:rPr>
          <w:rFonts w:ascii="黑体" w:eastAsia="黑体" w:hAnsi="黑体"/>
          <w:bCs w:val="0"/>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2"/>
      <w:bookmarkEnd w:id="13"/>
    </w:p>
    <w:p w:rsidR="001767E3" w:rsidRDefault="00A60EEF">
      <w:pPr>
        <w:pStyle w:val="a9"/>
        <w:numPr>
          <w:ilvl w:val="0"/>
          <w:numId w:val="1"/>
        </w:numPr>
        <w:spacing w:line="600" w:lineRule="exact"/>
        <w:ind w:firstLineChars="0"/>
        <w:outlineLvl w:val="1"/>
        <w:rPr>
          <w:rStyle w:val="2Char"/>
          <w:rFonts w:ascii="黑体" w:eastAsia="黑体" w:hAnsi="黑体"/>
          <w:b w:val="0"/>
        </w:rPr>
      </w:pPr>
      <w:bookmarkStart w:id="14" w:name="_Toc15396600"/>
      <w:bookmarkStart w:id="15" w:name="_Toc15377197"/>
      <w:r>
        <w:rPr>
          <w:rStyle w:val="2Char"/>
          <w:rFonts w:ascii="黑体" w:eastAsia="黑体" w:hAnsi="黑体" w:hint="eastAsia"/>
          <w:b w:val="0"/>
          <w:bCs w:val="0"/>
        </w:rPr>
        <w:t>主要</w:t>
      </w:r>
      <w:r>
        <w:rPr>
          <w:rStyle w:val="2Char"/>
          <w:rFonts w:ascii="黑体" w:eastAsia="黑体" w:hAnsi="黑体" w:hint="eastAsia"/>
          <w:b w:val="0"/>
        </w:rPr>
        <w:t>职责</w:t>
      </w:r>
    </w:p>
    <w:p w:rsidR="001767E3" w:rsidRDefault="00A60EEF">
      <w:pPr>
        <w:ind w:firstLineChars="200" w:firstLine="640"/>
        <w:rPr>
          <w:rFonts w:ascii="仿宋" w:eastAsia="仿宋" w:hAnsi="仿宋"/>
          <w:sz w:val="32"/>
          <w:szCs w:val="32"/>
        </w:rPr>
      </w:pPr>
      <w:r>
        <w:rPr>
          <w:rFonts w:ascii="仿宋" w:eastAsia="仿宋" w:hAnsi="仿宋" w:hint="eastAsia"/>
          <w:sz w:val="32"/>
          <w:szCs w:val="32"/>
        </w:rPr>
        <w:t>（一）贯彻执行国家和省有关机关事务管理的法律法规政策标准。</w:t>
      </w:r>
    </w:p>
    <w:p w:rsidR="001767E3" w:rsidRDefault="00A60EEF">
      <w:pPr>
        <w:ind w:firstLineChars="200" w:firstLine="640"/>
        <w:rPr>
          <w:rFonts w:ascii="仿宋" w:eastAsia="仿宋" w:hAnsi="仿宋"/>
          <w:sz w:val="32"/>
          <w:szCs w:val="32"/>
        </w:rPr>
      </w:pPr>
      <w:r>
        <w:rPr>
          <w:rFonts w:ascii="仿宋" w:eastAsia="仿宋" w:hAnsi="仿宋" w:hint="eastAsia"/>
          <w:sz w:val="32"/>
          <w:szCs w:val="32"/>
        </w:rPr>
        <w:t>（二）参与拟订四川省教育厅机关资产财务管理、机关后勤服务管理等方面规章制度、执行标准。</w:t>
      </w:r>
    </w:p>
    <w:p w:rsidR="001767E3" w:rsidRDefault="00A60EEF">
      <w:pPr>
        <w:ind w:firstLineChars="200" w:firstLine="640"/>
        <w:rPr>
          <w:rFonts w:ascii="仿宋" w:eastAsia="仿宋" w:hAnsi="仿宋"/>
          <w:sz w:val="32"/>
          <w:szCs w:val="32"/>
        </w:rPr>
      </w:pPr>
      <w:r>
        <w:rPr>
          <w:rFonts w:ascii="仿宋" w:eastAsia="仿宋" w:hAnsi="仿宋" w:hint="eastAsia"/>
          <w:sz w:val="32"/>
          <w:szCs w:val="32"/>
        </w:rPr>
        <w:t>（三）承担四川省教育厅机关的车辆、消防、安全生产、环境卫生、房屋管理等后勤服务保障工作。</w:t>
      </w:r>
    </w:p>
    <w:p w:rsidR="001767E3" w:rsidRDefault="00A60EEF">
      <w:pPr>
        <w:ind w:firstLineChars="200" w:firstLine="640"/>
        <w:rPr>
          <w:rFonts w:ascii="仿宋" w:eastAsia="仿宋" w:hAnsi="仿宋"/>
          <w:sz w:val="32"/>
          <w:szCs w:val="32"/>
        </w:rPr>
      </w:pPr>
      <w:r>
        <w:rPr>
          <w:rFonts w:ascii="仿宋" w:eastAsia="仿宋" w:hAnsi="仿宋" w:hint="eastAsia"/>
          <w:sz w:val="32"/>
          <w:szCs w:val="32"/>
        </w:rPr>
        <w:t>（四）承担四川省教育厅交由其办理的资产财务管理事务性工作。</w:t>
      </w:r>
    </w:p>
    <w:p w:rsidR="001767E3" w:rsidRDefault="00A60EEF">
      <w:pPr>
        <w:pStyle w:val="a9"/>
        <w:numPr>
          <w:ilvl w:val="0"/>
          <w:numId w:val="2"/>
        </w:numPr>
        <w:ind w:firstLineChars="0"/>
        <w:rPr>
          <w:rFonts w:ascii="仿宋" w:eastAsia="仿宋" w:hAnsi="仿宋"/>
          <w:sz w:val="32"/>
          <w:szCs w:val="32"/>
        </w:rPr>
      </w:pPr>
      <w:r>
        <w:rPr>
          <w:rFonts w:ascii="仿宋" w:eastAsia="仿宋" w:hAnsi="仿宋" w:hint="eastAsia"/>
          <w:sz w:val="32"/>
          <w:szCs w:val="32"/>
        </w:rPr>
        <w:t>完成四川省教育厅交办的其他任务。</w:t>
      </w:r>
    </w:p>
    <w:p w:rsidR="001767E3" w:rsidRDefault="00A60EEF">
      <w:pPr>
        <w:spacing w:line="600" w:lineRule="exact"/>
        <w:ind w:left="640"/>
        <w:outlineLvl w:val="1"/>
        <w:rPr>
          <w:rStyle w:val="2Char"/>
          <w:rFonts w:ascii="黑体" w:eastAsia="黑体" w:hAnsi="黑体"/>
        </w:rPr>
      </w:pPr>
      <w:r>
        <w:rPr>
          <w:rStyle w:val="2Char"/>
          <w:rFonts w:ascii="黑体" w:eastAsia="黑体" w:hAnsi="黑体" w:hint="eastAsia"/>
        </w:rPr>
        <w:t>二、机构设置</w:t>
      </w:r>
    </w:p>
    <w:bookmarkEnd w:id="14"/>
    <w:bookmarkEnd w:id="15"/>
    <w:p w:rsidR="001767E3" w:rsidRDefault="00A60EEF">
      <w:pPr>
        <w:ind w:firstLineChars="200" w:firstLine="640"/>
        <w:rPr>
          <w:rFonts w:ascii="仿宋" w:eastAsia="仿宋" w:hAnsi="仿宋"/>
          <w:sz w:val="32"/>
          <w:szCs w:val="32"/>
        </w:rPr>
      </w:pPr>
      <w:r>
        <w:rPr>
          <w:rFonts w:ascii="仿宋" w:eastAsia="仿宋" w:hAnsi="仿宋" w:hint="eastAsia"/>
          <w:sz w:val="32"/>
          <w:szCs w:val="32"/>
        </w:rPr>
        <w:t>教育厅机关服务中心本级由</w:t>
      </w:r>
      <w:r>
        <w:rPr>
          <w:rFonts w:ascii="仿宋" w:eastAsia="仿宋" w:hAnsi="仿宋" w:hint="eastAsia"/>
          <w:sz w:val="32"/>
          <w:szCs w:val="32"/>
        </w:rPr>
        <w:t>5</w:t>
      </w:r>
      <w:r>
        <w:rPr>
          <w:rFonts w:ascii="仿宋" w:eastAsia="仿宋" w:hAnsi="仿宋" w:hint="eastAsia"/>
          <w:sz w:val="32"/>
          <w:szCs w:val="32"/>
        </w:rPr>
        <w:t>个科室组成，分别是：办公室、财务科、资产管理科、行政管理科、车辆管理科。</w:t>
      </w:r>
    </w:p>
    <w:p w:rsidR="001767E3" w:rsidRDefault="00A60EEF">
      <w:pPr>
        <w:pStyle w:val="1"/>
        <w:ind w:right="440"/>
        <w:jc w:val="center"/>
        <w:rPr>
          <w:rStyle w:val="1Char"/>
          <w:rFonts w:ascii="黑体" w:eastAsia="黑体" w:hAnsi="黑体"/>
          <w:bCs/>
        </w:rPr>
      </w:pPr>
      <w:bookmarkStart w:id="16" w:name="_Toc15396602"/>
      <w:bookmarkStart w:id="17" w:name="_Toc15377204"/>
      <w:r>
        <w:rPr>
          <w:rFonts w:ascii="黑体" w:eastAsia="黑体" w:hAnsi="黑体" w:hint="eastAsia"/>
          <w:b w:val="0"/>
        </w:rPr>
        <w:t>第二部分</w:t>
      </w:r>
      <w:r>
        <w:rPr>
          <w:rFonts w:ascii="黑体" w:eastAsia="黑体" w:hAnsi="黑体" w:hint="eastAsia"/>
          <w:b w:val="0"/>
        </w:rPr>
        <w:t xml:space="preserve"> 2022</w:t>
      </w:r>
      <w:r>
        <w:rPr>
          <w:rFonts w:ascii="黑体" w:eastAsia="黑体" w:hAnsi="黑体" w:hint="eastAsia"/>
          <w:b w:val="0"/>
        </w:rPr>
        <w:t>年度</w:t>
      </w:r>
      <w:r>
        <w:rPr>
          <w:rStyle w:val="1Char"/>
          <w:rFonts w:ascii="黑体" w:eastAsia="黑体" w:hAnsi="黑体" w:hint="eastAsia"/>
          <w:bCs/>
        </w:rPr>
        <w:t>单位决算情况说明</w:t>
      </w:r>
      <w:bookmarkEnd w:id="16"/>
      <w:bookmarkEnd w:id="17"/>
    </w:p>
    <w:p w:rsidR="001767E3" w:rsidRDefault="001767E3"/>
    <w:p w:rsidR="001767E3" w:rsidRDefault="00A60EEF">
      <w:pPr>
        <w:pStyle w:val="a9"/>
        <w:numPr>
          <w:ilvl w:val="0"/>
          <w:numId w:val="3"/>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1767E3" w:rsidRDefault="00A60EEF">
      <w:pPr>
        <w:spacing w:line="600" w:lineRule="exact"/>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年度收、支总计</w:t>
      </w:r>
      <w:r>
        <w:rPr>
          <w:rFonts w:ascii="仿宋" w:eastAsia="仿宋" w:hAnsi="仿宋" w:hint="eastAsia"/>
          <w:sz w:val="32"/>
          <w:szCs w:val="32"/>
        </w:rPr>
        <w:t>493.13</w:t>
      </w:r>
      <w:r>
        <w:rPr>
          <w:rFonts w:ascii="仿宋" w:eastAsia="仿宋" w:hAnsi="仿宋" w:hint="eastAsia"/>
          <w:sz w:val="32"/>
          <w:szCs w:val="32"/>
        </w:rPr>
        <w:t>万元。与</w:t>
      </w:r>
      <w:r>
        <w:rPr>
          <w:rFonts w:ascii="仿宋" w:eastAsia="仿宋" w:hAnsi="仿宋" w:hint="eastAsia"/>
          <w:sz w:val="32"/>
          <w:szCs w:val="32"/>
        </w:rPr>
        <w:t>2021</w:t>
      </w:r>
      <w:r>
        <w:rPr>
          <w:rFonts w:ascii="仿宋" w:eastAsia="仿宋" w:hAnsi="仿宋" w:hint="eastAsia"/>
          <w:sz w:val="32"/>
          <w:szCs w:val="32"/>
        </w:rPr>
        <w:t>年相比，收、支总计各减少</w:t>
      </w:r>
      <w:r>
        <w:rPr>
          <w:rFonts w:ascii="仿宋" w:eastAsia="仿宋" w:hAnsi="仿宋" w:hint="eastAsia"/>
          <w:sz w:val="32"/>
          <w:szCs w:val="32"/>
        </w:rPr>
        <w:t>72.39</w:t>
      </w:r>
      <w:r>
        <w:rPr>
          <w:rFonts w:ascii="仿宋" w:eastAsia="仿宋" w:hAnsi="仿宋" w:hint="eastAsia"/>
          <w:sz w:val="32"/>
          <w:szCs w:val="32"/>
        </w:rPr>
        <w:t>万元，下降</w:t>
      </w:r>
      <w:r>
        <w:rPr>
          <w:rFonts w:ascii="仿宋" w:eastAsia="仿宋" w:hAnsi="仿宋" w:hint="eastAsia"/>
          <w:sz w:val="32"/>
          <w:szCs w:val="32"/>
        </w:rPr>
        <w:t>12.8</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2022</w:t>
      </w:r>
      <w:r>
        <w:rPr>
          <w:rFonts w:ascii="仿宋" w:eastAsia="仿宋" w:hAnsi="仿宋" w:hint="eastAsia"/>
          <w:sz w:val="32"/>
          <w:szCs w:val="32"/>
        </w:rPr>
        <w:t>年公务用车购置经费、设施设备维修费等项目支出减少。</w:t>
      </w:r>
    </w:p>
    <w:p w:rsidR="001767E3" w:rsidRDefault="001767E3">
      <w:pPr>
        <w:pStyle w:val="a0"/>
        <w:spacing w:before="93"/>
      </w:pPr>
    </w:p>
    <w:p w:rsidR="001767E3" w:rsidRDefault="00A60EEF">
      <w:pPr>
        <w:pStyle w:val="a0"/>
        <w:spacing w:before="93"/>
      </w:pPr>
      <w:r>
        <w:rPr>
          <w:rFonts w:ascii="仿宋" w:eastAsia="仿宋" w:hAnsi="仿宋" w:hint="eastAsia"/>
          <w:noProof/>
          <w:szCs w:val="32"/>
        </w:rPr>
        <w:lastRenderedPageBreak/>
        <w:drawing>
          <wp:inline distT="0" distB="0" distL="0" distR="0">
            <wp:extent cx="4678680" cy="2249805"/>
            <wp:effectExtent l="0" t="0" r="7620" b="171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67E3" w:rsidRDefault="00A60EEF">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1767E3" w:rsidRDefault="00A60EEF">
      <w:pPr>
        <w:pStyle w:val="a9"/>
        <w:numPr>
          <w:ilvl w:val="0"/>
          <w:numId w:val="3"/>
        </w:numPr>
        <w:spacing w:line="600" w:lineRule="exact"/>
        <w:ind w:firstLineChars="0"/>
        <w:outlineLvl w:val="1"/>
        <w:rPr>
          <w:rStyle w:val="2Char"/>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1767E3" w:rsidRDefault="00A60EEF">
      <w:pPr>
        <w:spacing w:line="600" w:lineRule="exact"/>
        <w:ind w:firstLineChars="200" w:firstLine="420"/>
        <w:outlineLvl w:val="1"/>
        <w:rPr>
          <w:rFonts w:ascii="仿宋" w:eastAsia="仿宋" w:hAnsi="仿宋"/>
          <w:sz w:val="32"/>
          <w:szCs w:val="32"/>
        </w:rPr>
      </w:pPr>
      <w:r>
        <w:rPr>
          <w:noProof/>
        </w:rPr>
        <w:drawing>
          <wp:anchor distT="0" distB="0" distL="114300" distR="114300" simplePos="0" relativeHeight="251659264" behindDoc="0" locked="0" layoutInCell="1" allowOverlap="1">
            <wp:simplePos x="0" y="0"/>
            <wp:positionH relativeFrom="page">
              <wp:posOffset>1476375</wp:posOffset>
            </wp:positionH>
            <wp:positionV relativeFrom="paragraph">
              <wp:posOffset>1137285</wp:posOffset>
            </wp:positionV>
            <wp:extent cx="3867150" cy="1447800"/>
            <wp:effectExtent l="0" t="0" r="19050" b="1905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年本年收入合计</w:t>
      </w:r>
      <w:r>
        <w:rPr>
          <w:rFonts w:ascii="仿宋" w:eastAsia="仿宋" w:hAnsi="仿宋" w:hint="eastAsia"/>
          <w:sz w:val="32"/>
          <w:szCs w:val="32"/>
        </w:rPr>
        <w:t>493.13</w:t>
      </w:r>
      <w:r>
        <w:rPr>
          <w:rFonts w:ascii="仿宋" w:eastAsia="仿宋" w:hAnsi="仿宋" w:hint="eastAsia"/>
          <w:sz w:val="32"/>
          <w:szCs w:val="32"/>
        </w:rPr>
        <w:t>万元，其中：一般公共预算财政拨款收入</w:t>
      </w:r>
      <w:r>
        <w:rPr>
          <w:rFonts w:ascii="仿宋" w:eastAsia="仿宋" w:hAnsi="仿宋" w:hint="eastAsia"/>
          <w:sz w:val="32"/>
          <w:szCs w:val="32"/>
        </w:rPr>
        <w:t>493.13</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1767E3" w:rsidRDefault="00A60EEF">
      <w:pPr>
        <w:spacing w:line="600" w:lineRule="exact"/>
        <w:ind w:firstLineChars="650" w:firstLine="20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1767E3" w:rsidRDefault="00A60EEF">
      <w:pPr>
        <w:pStyle w:val="a9"/>
        <w:numPr>
          <w:ilvl w:val="0"/>
          <w:numId w:val="3"/>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1767E3" w:rsidRDefault="00A60EEF">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年本年支出合计</w:t>
      </w:r>
      <w:r>
        <w:rPr>
          <w:rFonts w:ascii="仿宋" w:eastAsia="仿宋" w:hAnsi="仿宋" w:hint="eastAsia"/>
          <w:sz w:val="32"/>
          <w:szCs w:val="32"/>
        </w:rPr>
        <w:t>493.13</w:t>
      </w:r>
      <w:r>
        <w:rPr>
          <w:rFonts w:ascii="仿宋" w:eastAsia="仿宋" w:hAnsi="仿宋" w:hint="eastAsia"/>
          <w:sz w:val="32"/>
          <w:szCs w:val="32"/>
        </w:rPr>
        <w:t>万元，其中：基本支出</w:t>
      </w:r>
      <w:r>
        <w:rPr>
          <w:rFonts w:ascii="仿宋" w:eastAsia="仿宋" w:hAnsi="仿宋" w:hint="eastAsia"/>
          <w:sz w:val="32"/>
          <w:szCs w:val="32"/>
        </w:rPr>
        <w:t>358.48</w:t>
      </w:r>
      <w:r>
        <w:rPr>
          <w:rFonts w:ascii="仿宋" w:eastAsia="仿宋" w:hAnsi="仿宋" w:hint="eastAsia"/>
          <w:sz w:val="32"/>
          <w:szCs w:val="32"/>
        </w:rPr>
        <w:t>万元，占</w:t>
      </w:r>
      <w:r>
        <w:rPr>
          <w:rFonts w:ascii="仿宋" w:eastAsia="仿宋" w:hAnsi="仿宋" w:hint="eastAsia"/>
          <w:sz w:val="32"/>
          <w:szCs w:val="32"/>
        </w:rPr>
        <w:t>72.69</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134.65</w:t>
      </w:r>
      <w:r>
        <w:rPr>
          <w:rFonts w:ascii="仿宋" w:eastAsia="仿宋" w:hAnsi="仿宋" w:hint="eastAsia"/>
          <w:sz w:val="32"/>
          <w:szCs w:val="32"/>
        </w:rPr>
        <w:t>万元，占</w:t>
      </w:r>
      <w:r>
        <w:rPr>
          <w:rFonts w:ascii="仿宋" w:eastAsia="仿宋" w:hAnsi="仿宋" w:hint="eastAsia"/>
          <w:sz w:val="32"/>
          <w:szCs w:val="32"/>
        </w:rPr>
        <w:t>27.31</w:t>
      </w:r>
      <w:r>
        <w:rPr>
          <w:rFonts w:ascii="仿宋" w:eastAsia="仿宋" w:hAnsi="仿宋"/>
          <w:sz w:val="32"/>
          <w:szCs w:val="32"/>
        </w:rPr>
        <w:t>%</w:t>
      </w:r>
      <w:r>
        <w:rPr>
          <w:rFonts w:ascii="仿宋" w:eastAsia="仿宋" w:hAnsi="仿宋" w:hint="eastAsia"/>
          <w:sz w:val="32"/>
          <w:szCs w:val="32"/>
        </w:rPr>
        <w:t>。</w:t>
      </w:r>
    </w:p>
    <w:p w:rsidR="001767E3" w:rsidRDefault="00A60EEF">
      <w:pPr>
        <w:pStyle w:val="a0"/>
        <w:spacing w:before="93"/>
        <w:ind w:firstLineChars="750" w:firstLine="2250"/>
      </w:pPr>
      <w:r>
        <w:rPr>
          <w:rFonts w:ascii="仿宋" w:eastAsia="仿宋" w:hAnsi="仿宋"/>
          <w:noProof/>
          <w:szCs w:val="32"/>
          <w:shd w:val="pct10" w:color="auto" w:fill="FFFFFF"/>
        </w:rPr>
        <w:lastRenderedPageBreak/>
        <w:drawing>
          <wp:anchor distT="0" distB="0" distL="114300" distR="114300" simplePos="0" relativeHeight="251660288" behindDoc="0" locked="0" layoutInCell="1" allowOverlap="1">
            <wp:simplePos x="0" y="0"/>
            <wp:positionH relativeFrom="margin">
              <wp:posOffset>445135</wp:posOffset>
            </wp:positionH>
            <wp:positionV relativeFrom="paragraph">
              <wp:posOffset>220980</wp:posOffset>
            </wp:positionV>
            <wp:extent cx="4173855" cy="1653540"/>
            <wp:effectExtent l="0" t="0" r="17145" b="2286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1767E3" w:rsidRDefault="00A60EEF">
      <w:pPr>
        <w:spacing w:line="600" w:lineRule="exact"/>
        <w:ind w:firstLineChars="200" w:firstLine="640"/>
        <w:outlineLvl w:val="1"/>
        <w:rPr>
          <w:rStyle w:val="2Char"/>
          <w:rFonts w:ascii="黑体" w:eastAsia="黑体" w:hAnsi="黑体"/>
          <w:b w:val="0"/>
        </w:rPr>
      </w:pPr>
      <w:bookmarkStart w:id="24" w:name="_Toc15377208"/>
      <w:bookmarkStart w:id="25"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1767E3" w:rsidRDefault="00A60EE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年财政拨款收、支总计</w:t>
      </w:r>
      <w:r>
        <w:rPr>
          <w:rFonts w:ascii="仿宋" w:eastAsia="仿宋" w:hAnsi="仿宋" w:hint="eastAsia"/>
          <w:sz w:val="32"/>
          <w:szCs w:val="32"/>
        </w:rPr>
        <w:t>493.13</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年相比，财政拨款收、支总计各减少</w:t>
      </w:r>
      <w:r>
        <w:rPr>
          <w:rFonts w:ascii="仿宋" w:eastAsia="仿宋" w:hAnsi="仿宋" w:hint="eastAsia"/>
          <w:sz w:val="32"/>
          <w:szCs w:val="32"/>
        </w:rPr>
        <w:t>72.39</w:t>
      </w:r>
      <w:r>
        <w:rPr>
          <w:rFonts w:ascii="仿宋" w:eastAsia="仿宋" w:hAnsi="仿宋" w:hint="eastAsia"/>
          <w:sz w:val="32"/>
          <w:szCs w:val="32"/>
        </w:rPr>
        <w:t>万元，下降</w:t>
      </w:r>
      <w:r>
        <w:rPr>
          <w:rFonts w:ascii="仿宋" w:eastAsia="仿宋" w:hAnsi="仿宋" w:hint="eastAsia"/>
          <w:sz w:val="32"/>
          <w:szCs w:val="32"/>
        </w:rPr>
        <w:t>12.8%</w:t>
      </w:r>
      <w:r>
        <w:rPr>
          <w:rFonts w:ascii="仿宋" w:eastAsia="仿宋" w:hAnsi="仿宋" w:hint="eastAsia"/>
          <w:sz w:val="32"/>
          <w:szCs w:val="32"/>
        </w:rPr>
        <w:t>。主要变动原因是</w:t>
      </w:r>
      <w:r>
        <w:rPr>
          <w:rFonts w:ascii="仿宋" w:eastAsia="仿宋" w:hAnsi="仿宋" w:hint="eastAsia"/>
          <w:sz w:val="32"/>
          <w:szCs w:val="32"/>
        </w:rPr>
        <w:t>2022</w:t>
      </w:r>
      <w:r>
        <w:rPr>
          <w:rFonts w:ascii="仿宋" w:eastAsia="仿宋" w:hAnsi="仿宋" w:hint="eastAsia"/>
          <w:sz w:val="32"/>
          <w:szCs w:val="32"/>
        </w:rPr>
        <w:t>年公务用车购置经费、设施设备维修费等项目支出减少。</w:t>
      </w:r>
    </w:p>
    <w:p w:rsidR="001767E3" w:rsidRDefault="00A60EEF">
      <w:pPr>
        <w:spacing w:line="600" w:lineRule="exact"/>
        <w:ind w:firstLineChars="750" w:firstLine="1575"/>
        <w:rPr>
          <w:rFonts w:ascii="仿宋" w:eastAsia="仿宋" w:hAnsi="仿宋"/>
          <w:b/>
          <w:sz w:val="32"/>
          <w:szCs w:val="32"/>
        </w:rPr>
      </w:pPr>
      <w:r>
        <w:rPr>
          <w:rFonts w:ascii="仿宋" w:eastAsia="仿宋" w:hAnsi="仿宋" w:hint="eastAsia"/>
          <w:noProof/>
          <w:szCs w:val="32"/>
        </w:rPr>
        <w:drawing>
          <wp:anchor distT="0" distB="0" distL="114300" distR="114300" simplePos="0" relativeHeight="251661312" behindDoc="0" locked="0" layoutInCell="1" allowOverlap="1">
            <wp:simplePos x="0" y="0"/>
            <wp:positionH relativeFrom="page">
              <wp:posOffset>1648460</wp:posOffset>
            </wp:positionH>
            <wp:positionV relativeFrom="paragraph">
              <wp:posOffset>230505</wp:posOffset>
            </wp:positionV>
            <wp:extent cx="4746625" cy="2210435"/>
            <wp:effectExtent l="0" t="0" r="15875" b="1841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1767E3" w:rsidRDefault="00A60EEF">
      <w:pPr>
        <w:spacing w:line="600" w:lineRule="exact"/>
        <w:ind w:firstLineChars="200" w:firstLine="640"/>
        <w:outlineLvl w:val="1"/>
        <w:rPr>
          <w:rStyle w:val="2Char"/>
          <w:rFonts w:ascii="黑体" w:eastAsia="黑体" w:hAnsi="黑体"/>
          <w:b w:val="0"/>
        </w:rPr>
      </w:pPr>
      <w:bookmarkStart w:id="26" w:name="_Toc15377209"/>
      <w:bookmarkStart w:id="27"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1767E3" w:rsidRDefault="00A60EEF">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1767E3" w:rsidRDefault="00A60EEF">
      <w:pPr>
        <w:spacing w:line="600" w:lineRule="exact"/>
        <w:ind w:firstLineChars="200" w:firstLine="420"/>
        <w:rPr>
          <w:rFonts w:ascii="仿宋" w:eastAsia="仿宋" w:hAnsi="仿宋"/>
          <w:sz w:val="32"/>
          <w:szCs w:val="32"/>
        </w:rPr>
      </w:pPr>
      <w:r>
        <w:rPr>
          <w:rFonts w:ascii="仿宋" w:eastAsia="仿宋" w:hAnsi="仿宋" w:hint="eastAsia"/>
          <w:noProof/>
          <w:szCs w:val="32"/>
        </w:rPr>
        <w:lastRenderedPageBreak/>
        <w:drawing>
          <wp:anchor distT="0" distB="0" distL="114300" distR="114300" simplePos="0" relativeHeight="251662336" behindDoc="0" locked="0" layoutInCell="1" allowOverlap="1">
            <wp:simplePos x="0" y="0"/>
            <wp:positionH relativeFrom="page">
              <wp:posOffset>1370965</wp:posOffset>
            </wp:positionH>
            <wp:positionV relativeFrom="paragraph">
              <wp:posOffset>1647825</wp:posOffset>
            </wp:positionV>
            <wp:extent cx="4867275" cy="2247900"/>
            <wp:effectExtent l="0" t="0" r="9525" b="1905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 w:eastAsia="仿宋" w:hAnsi="仿宋" w:hint="eastAsia"/>
          <w:sz w:val="32"/>
          <w:szCs w:val="32"/>
        </w:rPr>
        <w:t>493.13</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年相比，一般公共预算财政拨款支出减少</w:t>
      </w:r>
      <w:r>
        <w:rPr>
          <w:rFonts w:ascii="仿宋" w:eastAsia="仿宋" w:hAnsi="仿宋" w:hint="eastAsia"/>
          <w:sz w:val="32"/>
          <w:szCs w:val="32"/>
        </w:rPr>
        <w:t>72.39</w:t>
      </w:r>
      <w:r>
        <w:rPr>
          <w:rFonts w:ascii="仿宋" w:eastAsia="仿宋" w:hAnsi="仿宋" w:hint="eastAsia"/>
          <w:sz w:val="32"/>
          <w:szCs w:val="32"/>
        </w:rPr>
        <w:t>万元，下降</w:t>
      </w:r>
      <w:r>
        <w:rPr>
          <w:rFonts w:ascii="仿宋" w:eastAsia="仿宋" w:hAnsi="仿宋" w:hint="eastAsia"/>
          <w:sz w:val="32"/>
          <w:szCs w:val="32"/>
        </w:rPr>
        <w:t>12.8%</w:t>
      </w:r>
      <w:r>
        <w:rPr>
          <w:rFonts w:ascii="仿宋" w:eastAsia="仿宋" w:hAnsi="仿宋" w:hint="eastAsia"/>
          <w:sz w:val="32"/>
          <w:szCs w:val="32"/>
        </w:rPr>
        <w:t>。主要变动原因是</w:t>
      </w:r>
      <w:r>
        <w:rPr>
          <w:rFonts w:ascii="仿宋" w:eastAsia="仿宋" w:hAnsi="仿宋" w:hint="eastAsia"/>
          <w:sz w:val="32"/>
          <w:szCs w:val="32"/>
        </w:rPr>
        <w:t>2022</w:t>
      </w:r>
      <w:r>
        <w:rPr>
          <w:rFonts w:ascii="仿宋" w:eastAsia="仿宋" w:hAnsi="仿宋" w:hint="eastAsia"/>
          <w:sz w:val="32"/>
          <w:szCs w:val="32"/>
        </w:rPr>
        <w:t>年公务用车购置经费、设施设备维修费等项目支出减少。</w:t>
      </w:r>
    </w:p>
    <w:p w:rsidR="001767E3" w:rsidRDefault="00A60EEF">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bookmarkStart w:id="29" w:name="_Toc15377211"/>
    </w:p>
    <w:p w:rsidR="001767E3" w:rsidRDefault="00A60EEF">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29"/>
    </w:p>
    <w:p w:rsidR="001767E3" w:rsidRDefault="00A60EEF">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 w:eastAsia="仿宋" w:hAnsi="仿宋" w:hint="eastAsia"/>
          <w:sz w:val="32"/>
          <w:szCs w:val="32"/>
        </w:rPr>
        <w:t>493.13</w:t>
      </w:r>
      <w:r>
        <w:rPr>
          <w:rFonts w:ascii="仿宋" w:eastAsia="仿宋" w:hAnsi="仿宋" w:hint="eastAsia"/>
          <w:sz w:val="32"/>
          <w:szCs w:val="32"/>
        </w:rPr>
        <w:t>万元，主要用于以下方面</w:t>
      </w:r>
      <w:r>
        <w:rPr>
          <w:rFonts w:ascii="仿宋" w:eastAsia="仿宋" w:hAnsi="仿宋"/>
          <w:sz w:val="32"/>
          <w:szCs w:val="32"/>
        </w:rPr>
        <w:t>:</w:t>
      </w:r>
      <w:r>
        <w:rPr>
          <w:rFonts w:eastAsia="仿宋_GB2312" w:hint="eastAsia"/>
          <w:sz w:val="32"/>
          <w:szCs w:val="22"/>
        </w:rPr>
        <w:t xml:space="preserve"> </w:t>
      </w:r>
      <w:r>
        <w:rPr>
          <w:rFonts w:eastAsia="仿宋_GB2312" w:hint="eastAsia"/>
          <w:sz w:val="32"/>
          <w:szCs w:val="22"/>
        </w:rPr>
        <w:t>一般公共服务支出（类）</w:t>
      </w:r>
      <w:r>
        <w:rPr>
          <w:rFonts w:eastAsia="仿宋_GB2312" w:hint="eastAsia"/>
          <w:sz w:val="32"/>
          <w:szCs w:val="22"/>
        </w:rPr>
        <w:t>2.43</w:t>
      </w:r>
      <w:r>
        <w:rPr>
          <w:rFonts w:eastAsia="仿宋_GB2312" w:hint="eastAsia"/>
          <w:sz w:val="32"/>
          <w:szCs w:val="22"/>
        </w:rPr>
        <w:t>万元，占</w:t>
      </w:r>
      <w:r>
        <w:rPr>
          <w:rFonts w:eastAsia="仿宋_GB2312" w:hint="eastAsia"/>
          <w:sz w:val="32"/>
          <w:szCs w:val="22"/>
        </w:rPr>
        <w:t>0.49%</w:t>
      </w:r>
      <w:r>
        <w:rPr>
          <w:rFonts w:eastAsia="仿宋_GB2312" w:hint="eastAsia"/>
          <w:sz w:val="32"/>
          <w:szCs w:val="22"/>
        </w:rPr>
        <w:t>；教育支出（类）</w:t>
      </w:r>
      <w:r>
        <w:rPr>
          <w:rFonts w:eastAsia="仿宋_GB2312"/>
          <w:sz w:val="32"/>
          <w:szCs w:val="22"/>
        </w:rPr>
        <w:t>377.28</w:t>
      </w:r>
      <w:r>
        <w:rPr>
          <w:rFonts w:eastAsia="仿宋_GB2312" w:hint="eastAsia"/>
          <w:sz w:val="32"/>
          <w:szCs w:val="22"/>
        </w:rPr>
        <w:t>万元，占</w:t>
      </w:r>
      <w:r>
        <w:rPr>
          <w:rFonts w:eastAsia="仿宋_GB2312" w:hint="eastAsia"/>
          <w:sz w:val="32"/>
          <w:szCs w:val="22"/>
        </w:rPr>
        <w:t>76.51%</w:t>
      </w:r>
      <w:r>
        <w:rPr>
          <w:rFonts w:eastAsia="仿宋_GB2312" w:hint="eastAsia"/>
          <w:sz w:val="32"/>
          <w:szCs w:val="22"/>
        </w:rPr>
        <w:t>；社会保障和就业（类）支出</w:t>
      </w:r>
      <w:r>
        <w:rPr>
          <w:rFonts w:eastAsia="仿宋_GB2312"/>
          <w:sz w:val="32"/>
          <w:szCs w:val="22"/>
        </w:rPr>
        <w:t>76.21</w:t>
      </w:r>
      <w:r>
        <w:rPr>
          <w:rFonts w:eastAsia="仿宋_GB2312" w:hint="eastAsia"/>
          <w:sz w:val="32"/>
          <w:szCs w:val="22"/>
        </w:rPr>
        <w:t>万元，占</w:t>
      </w:r>
      <w:r>
        <w:rPr>
          <w:rFonts w:eastAsia="仿宋_GB2312" w:hint="eastAsia"/>
          <w:sz w:val="32"/>
          <w:szCs w:val="22"/>
        </w:rPr>
        <w:t>15.45%</w:t>
      </w:r>
      <w:r>
        <w:rPr>
          <w:rFonts w:eastAsia="仿宋_GB2312" w:hint="eastAsia"/>
          <w:sz w:val="32"/>
          <w:szCs w:val="22"/>
        </w:rPr>
        <w:t>；卫生健康（类）支出</w:t>
      </w:r>
      <w:r>
        <w:rPr>
          <w:rFonts w:eastAsia="仿宋_GB2312"/>
          <w:sz w:val="32"/>
          <w:szCs w:val="22"/>
        </w:rPr>
        <w:t>16.32</w:t>
      </w:r>
      <w:r>
        <w:rPr>
          <w:rFonts w:eastAsia="仿宋_GB2312" w:hint="eastAsia"/>
          <w:sz w:val="32"/>
          <w:szCs w:val="22"/>
        </w:rPr>
        <w:t>万元，占</w:t>
      </w:r>
      <w:r>
        <w:rPr>
          <w:rFonts w:eastAsia="仿宋_GB2312" w:hint="eastAsia"/>
          <w:sz w:val="32"/>
          <w:szCs w:val="22"/>
        </w:rPr>
        <w:t>3.31%</w:t>
      </w:r>
      <w:r>
        <w:rPr>
          <w:rFonts w:eastAsia="仿宋_GB2312" w:hint="eastAsia"/>
          <w:sz w:val="32"/>
          <w:szCs w:val="22"/>
        </w:rPr>
        <w:t>；住房保障（类）支出</w:t>
      </w:r>
      <w:r>
        <w:rPr>
          <w:rFonts w:eastAsia="仿宋_GB2312"/>
          <w:sz w:val="32"/>
          <w:szCs w:val="22"/>
        </w:rPr>
        <w:t>20.89</w:t>
      </w:r>
      <w:r>
        <w:rPr>
          <w:rFonts w:eastAsia="仿宋_GB2312" w:hint="eastAsia"/>
          <w:sz w:val="32"/>
          <w:szCs w:val="22"/>
        </w:rPr>
        <w:t>万元，占</w:t>
      </w:r>
      <w:r>
        <w:rPr>
          <w:rFonts w:eastAsia="仿宋_GB2312" w:hint="eastAsia"/>
          <w:sz w:val="32"/>
          <w:szCs w:val="22"/>
        </w:rPr>
        <w:t>4.24%</w:t>
      </w:r>
      <w:r>
        <w:rPr>
          <w:rFonts w:ascii="仿宋" w:eastAsia="仿宋" w:hAnsi="仿宋" w:hint="eastAsia"/>
          <w:sz w:val="32"/>
          <w:szCs w:val="32"/>
        </w:rPr>
        <w:t>。</w:t>
      </w:r>
    </w:p>
    <w:p w:rsidR="001767E3" w:rsidRDefault="001767E3">
      <w:pPr>
        <w:spacing w:line="600" w:lineRule="exact"/>
        <w:ind w:firstLine="640"/>
        <w:rPr>
          <w:rFonts w:ascii="仿宋" w:eastAsia="仿宋" w:hAnsi="仿宋"/>
          <w:b/>
          <w:sz w:val="32"/>
          <w:szCs w:val="32"/>
        </w:rPr>
      </w:pPr>
    </w:p>
    <w:p w:rsidR="001767E3" w:rsidRDefault="00A60EEF">
      <w:pPr>
        <w:pStyle w:val="a0"/>
        <w:spacing w:before="93"/>
        <w:ind w:firstLineChars="350" w:firstLine="1050"/>
      </w:pPr>
      <w:r>
        <w:rPr>
          <w:noProof/>
        </w:rPr>
        <w:lastRenderedPageBreak/>
        <w:drawing>
          <wp:anchor distT="0" distB="0" distL="114300" distR="114300" simplePos="0" relativeHeight="251663360" behindDoc="0" locked="0" layoutInCell="1" allowOverlap="1">
            <wp:simplePos x="0" y="0"/>
            <wp:positionH relativeFrom="column">
              <wp:posOffset>190500</wp:posOffset>
            </wp:positionH>
            <wp:positionV relativeFrom="paragraph">
              <wp:posOffset>180975</wp:posOffset>
            </wp:positionV>
            <wp:extent cx="4895850" cy="2190750"/>
            <wp:effectExtent l="0" t="0" r="19050" b="1905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1767E3" w:rsidRDefault="00A60EEF">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1767E3" w:rsidRDefault="00A60EEF">
      <w:pPr>
        <w:spacing w:line="600" w:lineRule="exact"/>
        <w:ind w:firstLineChars="200" w:firstLine="643"/>
        <w:outlineLvl w:val="2"/>
        <w:rPr>
          <w:rFonts w:ascii="仿宋" w:eastAsia="仿宋" w:hAnsi="仿宋"/>
          <w:sz w:val="32"/>
          <w:szCs w:val="32"/>
        </w:rPr>
      </w:pPr>
      <w:bookmarkStart w:id="31" w:name="_Toc15377213"/>
      <w:bookmarkStart w:id="32" w:name="_Toc15378460"/>
      <w:bookmarkStart w:id="33" w:name="_Toc15377444"/>
      <w:r>
        <w:rPr>
          <w:rFonts w:ascii="仿宋" w:eastAsia="仿宋" w:hAnsi="仿宋" w:hint="eastAsia"/>
          <w:b/>
          <w:sz w:val="32"/>
          <w:szCs w:val="32"/>
        </w:rPr>
        <w:t>2022</w:t>
      </w:r>
      <w:r>
        <w:rPr>
          <w:rFonts w:ascii="仿宋" w:eastAsia="仿宋" w:hAnsi="仿宋" w:hint="eastAsia"/>
          <w:b/>
          <w:sz w:val="32"/>
          <w:szCs w:val="32"/>
        </w:rPr>
        <w:t>年一般公共预算支出决算数为</w:t>
      </w:r>
      <w:r>
        <w:rPr>
          <w:rFonts w:ascii="仿宋" w:eastAsia="仿宋" w:hAnsi="仿宋" w:hint="eastAsia"/>
          <w:b/>
          <w:sz w:val="32"/>
          <w:szCs w:val="32"/>
        </w:rPr>
        <w:t>493.13</w:t>
      </w:r>
      <w:r>
        <w:rPr>
          <w:rFonts w:ascii="仿宋" w:eastAsia="仿宋" w:hAnsi="仿宋" w:hint="eastAsia"/>
          <w:sz w:val="32"/>
          <w:szCs w:val="32"/>
        </w:rPr>
        <w:t>，</w:t>
      </w:r>
      <w:r>
        <w:rPr>
          <w:rStyle w:val="a7"/>
          <w:rFonts w:ascii="仿宋" w:eastAsia="仿宋" w:hAnsi="仿宋" w:hint="eastAsia"/>
          <w:bCs/>
          <w:sz w:val="32"/>
          <w:szCs w:val="32"/>
        </w:rPr>
        <w:t>完成预算</w:t>
      </w:r>
      <w:r>
        <w:rPr>
          <w:rStyle w:val="a7"/>
          <w:rFonts w:ascii="仿宋" w:eastAsia="仿宋" w:hAnsi="仿宋" w:hint="eastAsia"/>
          <w:bCs/>
          <w:sz w:val="32"/>
          <w:szCs w:val="32"/>
        </w:rPr>
        <w:t>93.67</w:t>
      </w:r>
      <w:r>
        <w:rPr>
          <w:rStyle w:val="a7"/>
          <w:rFonts w:ascii="仿宋" w:eastAsia="仿宋" w:hAnsi="仿宋"/>
          <w:bCs/>
          <w:sz w:val="32"/>
          <w:szCs w:val="32"/>
        </w:rPr>
        <w:t>%</w:t>
      </w:r>
      <w:r>
        <w:rPr>
          <w:rStyle w:val="a7"/>
          <w:rFonts w:ascii="仿宋" w:eastAsia="仿宋" w:hAnsi="仿宋" w:hint="eastAsia"/>
          <w:bCs/>
          <w:sz w:val="32"/>
          <w:szCs w:val="32"/>
        </w:rPr>
        <w:t>。其中：</w:t>
      </w:r>
      <w:bookmarkEnd w:id="31"/>
      <w:bookmarkEnd w:id="32"/>
      <w:bookmarkEnd w:id="33"/>
    </w:p>
    <w:p w:rsidR="001767E3" w:rsidRDefault="00A60EEF">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一般公共服务（类）其他一般公共服务支出（款）其他一般公共服务支出（项）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2.43</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99.59</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767E3" w:rsidRDefault="00A60EEF">
      <w:pPr>
        <w:spacing w:line="600" w:lineRule="exact"/>
        <w:ind w:firstLineChars="200" w:firstLine="643"/>
        <w:rPr>
          <w:rStyle w:val="a7"/>
          <w:rFonts w:ascii="仿宋" w:eastAsia="仿宋" w:hAnsi="仿宋"/>
          <w:b w:val="0"/>
          <w:bCs/>
          <w:sz w:val="32"/>
          <w:szCs w:val="32"/>
        </w:rPr>
      </w:pPr>
      <w:r>
        <w:rPr>
          <w:rStyle w:val="a7"/>
          <w:rFonts w:ascii="仿宋" w:eastAsia="仿宋" w:hAnsi="仿宋"/>
          <w:bCs/>
          <w:sz w:val="32"/>
          <w:szCs w:val="32"/>
        </w:rPr>
        <w:t>2.</w:t>
      </w:r>
      <w:r>
        <w:rPr>
          <w:rStyle w:val="a7"/>
          <w:rFonts w:ascii="仿宋" w:eastAsia="仿宋" w:hAnsi="仿宋" w:hint="eastAsia"/>
          <w:bCs/>
          <w:sz w:val="32"/>
          <w:szCs w:val="32"/>
        </w:rPr>
        <w:t>教育支出（类）教育管理事务（款）机关服务（项）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377.28</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92.8</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Pr>
          <w:rStyle w:val="a7"/>
          <w:rFonts w:ascii="仿宋" w:eastAsia="仿宋" w:hAnsi="仿宋" w:hint="eastAsia"/>
          <w:b w:val="0"/>
          <w:bCs/>
          <w:sz w:val="32"/>
          <w:szCs w:val="32"/>
        </w:rPr>
        <w:t>受疫情影响，部分工作无法开展。</w:t>
      </w:r>
    </w:p>
    <w:p w:rsidR="001767E3" w:rsidRDefault="00A60EEF">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Pr>
          <w:rStyle w:val="a7"/>
          <w:rFonts w:ascii="仿宋" w:eastAsia="仿宋" w:hAnsi="仿宋" w:hint="eastAsia"/>
          <w:bCs/>
          <w:sz w:val="32"/>
          <w:szCs w:val="32"/>
        </w:rPr>
        <w:t>社会保障和就业支出（类）行政事业单位养老支出（款）事业单位离退休（项）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54.39</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94.12</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，决算数小于预算数的主要原因是个别退休人员变化所致。</w:t>
      </w:r>
    </w:p>
    <w:p w:rsidR="001767E3" w:rsidRDefault="00A60EEF">
      <w:pPr>
        <w:spacing w:line="600" w:lineRule="exact"/>
        <w:ind w:firstLineChars="200" w:firstLine="643"/>
        <w:rPr>
          <w:rFonts w:ascii="仿宋" w:eastAsia="仿宋" w:hAnsi="仿宋"/>
          <w:b/>
          <w:sz w:val="32"/>
          <w:szCs w:val="32"/>
        </w:rPr>
      </w:pPr>
      <w:r>
        <w:rPr>
          <w:rStyle w:val="a7"/>
          <w:rFonts w:ascii="仿宋" w:eastAsia="仿宋" w:hAnsi="仿宋"/>
          <w:bCs/>
          <w:sz w:val="32"/>
          <w:szCs w:val="32"/>
        </w:rPr>
        <w:t>4.</w:t>
      </w:r>
      <w:r>
        <w:rPr>
          <w:rStyle w:val="a7"/>
          <w:rFonts w:ascii="仿宋" w:eastAsia="仿宋" w:hAnsi="仿宋" w:hint="eastAsia"/>
          <w:bCs/>
          <w:sz w:val="32"/>
          <w:szCs w:val="32"/>
        </w:rPr>
        <w:t>社会保障和就业支出（类）行政事业单位养老支出（款）机关事业单位基本养老保险缴费支出（项）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lastRenderedPageBreak/>
        <w:t>21.82</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99.82</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767E3" w:rsidRDefault="00A60EEF">
      <w:pPr>
        <w:spacing w:line="600" w:lineRule="exact"/>
        <w:ind w:firstLineChars="200" w:firstLine="643"/>
        <w:rPr>
          <w:rFonts w:ascii="仿宋" w:eastAsia="仿宋" w:hAnsi="仿宋"/>
          <w:b/>
          <w:sz w:val="32"/>
          <w:szCs w:val="32"/>
        </w:rPr>
      </w:pPr>
      <w:r>
        <w:rPr>
          <w:rStyle w:val="a7"/>
          <w:rFonts w:ascii="仿宋" w:eastAsia="仿宋" w:hAnsi="仿宋"/>
          <w:bCs/>
          <w:sz w:val="32"/>
          <w:szCs w:val="32"/>
        </w:rPr>
        <w:t>5.</w:t>
      </w:r>
      <w:r>
        <w:rPr>
          <w:rStyle w:val="a7"/>
          <w:rFonts w:ascii="仿宋" w:eastAsia="仿宋" w:hAnsi="仿宋" w:hint="eastAsia"/>
          <w:bCs/>
          <w:sz w:val="32"/>
          <w:szCs w:val="32"/>
        </w:rPr>
        <w:t>卫生健康支出（类）行政事业单位医疗（款）事业单位医疗（项）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16.32</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99.76</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767E3" w:rsidRDefault="00A60EEF">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Pr>
          <w:rFonts w:ascii="仿宋" w:eastAsia="仿宋" w:hAnsi="仿宋" w:hint="eastAsia"/>
          <w:b/>
          <w:bCs/>
          <w:sz w:val="32"/>
          <w:szCs w:val="32"/>
        </w:rPr>
        <w:t>住房保障支出</w:t>
      </w:r>
      <w:r>
        <w:rPr>
          <w:rStyle w:val="a7"/>
          <w:rFonts w:ascii="仿宋" w:eastAsia="仿宋" w:hAnsi="仿宋" w:hint="eastAsia"/>
          <w:bCs/>
          <w:sz w:val="32"/>
          <w:szCs w:val="32"/>
        </w:rPr>
        <w:t>（类）住房改革支出（款）住房公积金（项）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Pr>
          <w:rStyle w:val="a7"/>
          <w:rFonts w:ascii="仿宋" w:eastAsia="仿宋" w:hAnsi="仿宋" w:hint="eastAsia"/>
          <w:b w:val="0"/>
          <w:bCs/>
          <w:sz w:val="32"/>
          <w:szCs w:val="32"/>
        </w:rPr>
        <w:t>20.89</w:t>
      </w:r>
      <w:r>
        <w:rPr>
          <w:rStyle w:val="a7"/>
          <w:rFonts w:ascii="仿宋" w:eastAsia="仿宋" w:hAnsi="仿宋" w:hint="eastAsia"/>
          <w:b w:val="0"/>
          <w:bCs/>
          <w:sz w:val="32"/>
          <w:szCs w:val="32"/>
        </w:rPr>
        <w:t>万元，完成预算</w:t>
      </w:r>
      <w:r>
        <w:rPr>
          <w:rStyle w:val="a7"/>
          <w:rFonts w:ascii="仿宋" w:eastAsia="仿宋" w:hAnsi="仿宋" w:hint="eastAsia"/>
          <w:b w:val="0"/>
          <w:bCs/>
          <w:sz w:val="32"/>
          <w:szCs w:val="32"/>
        </w:rPr>
        <w:t>97.48</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1767E3" w:rsidRDefault="00A60EEF">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1767E3" w:rsidRDefault="00A60EEF">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年一般公共预算财政拨款基本支出</w:t>
      </w:r>
      <w:r>
        <w:rPr>
          <w:rFonts w:ascii="仿宋" w:eastAsia="仿宋" w:hAnsi="仿宋" w:hint="eastAsia"/>
          <w:sz w:val="32"/>
          <w:szCs w:val="32"/>
        </w:rPr>
        <w:t>358.48</w:t>
      </w:r>
      <w:r>
        <w:rPr>
          <w:rFonts w:ascii="仿宋" w:eastAsia="仿宋" w:hAnsi="仿宋" w:hint="eastAsia"/>
          <w:sz w:val="32"/>
          <w:szCs w:val="32"/>
        </w:rPr>
        <w:t>万元，其中：</w:t>
      </w:r>
    </w:p>
    <w:p w:rsidR="001767E3" w:rsidRDefault="00A60EEF">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307.66</w:t>
      </w:r>
      <w:r>
        <w:rPr>
          <w:rFonts w:ascii="仿宋" w:eastAsia="仿宋" w:hAnsi="仿宋" w:hint="eastAsia"/>
          <w:sz w:val="32"/>
          <w:szCs w:val="32"/>
        </w:rPr>
        <w:t>万元，主要包括：基本工资、津贴补贴、奖金、绩效工资、机关事业单位基本养老保险缴费、职业年金缴费、其他社会保障缴费、其他工资福利支出、退休费、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sz w:val="32"/>
          <w:szCs w:val="32"/>
        </w:rPr>
        <w:t>50.82</w:t>
      </w:r>
      <w:r>
        <w:rPr>
          <w:rFonts w:ascii="仿宋" w:eastAsia="仿宋" w:hAnsi="仿宋" w:hint="eastAsia"/>
          <w:sz w:val="32"/>
          <w:szCs w:val="32"/>
        </w:rPr>
        <w:t>万元，主要包括：办公费、印刷费、水费、电费、邮电费、物业管理费、差旅费、维修（护）费、租赁费、培训费、劳务费、工会经费、福利费、公务用车运行维护费、其他商品和服务支出等。</w:t>
      </w:r>
    </w:p>
    <w:p w:rsidR="001767E3" w:rsidRDefault="00A60EEF">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6"/>
      <w:bookmarkEnd w:id="37"/>
    </w:p>
    <w:p w:rsidR="001767E3" w:rsidRDefault="00A60EEF">
      <w:pPr>
        <w:spacing w:line="600" w:lineRule="exact"/>
        <w:ind w:firstLine="640"/>
        <w:outlineLvl w:val="2"/>
        <w:rPr>
          <w:rFonts w:ascii="仿宋" w:eastAsia="仿宋" w:hAnsi="仿宋"/>
          <w:b/>
          <w:sz w:val="32"/>
          <w:szCs w:val="32"/>
        </w:rPr>
      </w:pPr>
      <w:bookmarkStart w:id="38" w:name="_Toc15377216"/>
      <w:r>
        <w:rPr>
          <w:rFonts w:ascii="仿宋" w:eastAsia="仿宋" w:hAnsi="仿宋" w:hint="eastAsia"/>
          <w:b/>
          <w:sz w:val="32"/>
          <w:szCs w:val="32"/>
        </w:rPr>
        <w:t>（一）“三公”经费财政拨款支出决算总体情况说明</w:t>
      </w:r>
      <w:bookmarkEnd w:id="38"/>
    </w:p>
    <w:p w:rsidR="001767E3" w:rsidRDefault="00A60EE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w:t>
      </w:r>
      <w:r>
        <w:rPr>
          <w:rFonts w:ascii="仿宋" w:eastAsia="仿宋" w:hAnsi="仿宋" w:hint="eastAsia"/>
          <w:sz w:val="32"/>
          <w:szCs w:val="32"/>
        </w:rPr>
        <w:t>算为</w:t>
      </w:r>
      <w:r>
        <w:rPr>
          <w:rFonts w:ascii="仿宋" w:eastAsia="仿宋" w:hAnsi="仿宋"/>
          <w:sz w:val="32"/>
          <w:szCs w:val="32"/>
        </w:rPr>
        <w:t>10.58</w:t>
      </w:r>
      <w:r>
        <w:rPr>
          <w:rFonts w:ascii="仿宋" w:eastAsia="仿宋" w:hAnsi="仿宋" w:hint="eastAsia"/>
          <w:sz w:val="32"/>
          <w:szCs w:val="32"/>
        </w:rPr>
        <w:t>万元，完成预算</w:t>
      </w:r>
      <w:r>
        <w:rPr>
          <w:rFonts w:ascii="仿宋" w:eastAsia="仿宋" w:hAnsi="仿宋" w:hint="eastAsia"/>
          <w:sz w:val="32"/>
          <w:szCs w:val="32"/>
        </w:rPr>
        <w:t>88.17</w:t>
      </w:r>
      <w:r>
        <w:rPr>
          <w:rFonts w:ascii="仿宋" w:eastAsia="仿宋" w:hAnsi="仿宋"/>
          <w:sz w:val="32"/>
          <w:szCs w:val="32"/>
        </w:rPr>
        <w:t>%</w:t>
      </w:r>
      <w:r>
        <w:rPr>
          <w:rFonts w:ascii="仿宋" w:eastAsia="仿宋" w:hAnsi="仿宋" w:hint="eastAsia"/>
          <w:sz w:val="32"/>
          <w:szCs w:val="32"/>
        </w:rPr>
        <w:t>，较上年减少</w:t>
      </w:r>
      <w:r>
        <w:rPr>
          <w:rFonts w:ascii="仿宋" w:eastAsia="仿宋" w:hAnsi="仿宋" w:hint="eastAsia"/>
          <w:sz w:val="32"/>
          <w:szCs w:val="32"/>
        </w:rPr>
        <w:t>48.35</w:t>
      </w:r>
      <w:r>
        <w:rPr>
          <w:rFonts w:ascii="仿宋" w:eastAsia="仿宋" w:hAnsi="仿宋" w:hint="eastAsia"/>
          <w:sz w:val="32"/>
          <w:szCs w:val="32"/>
        </w:rPr>
        <w:t>万元，下降</w:t>
      </w:r>
      <w:r>
        <w:rPr>
          <w:rFonts w:ascii="仿宋" w:eastAsia="仿宋" w:hAnsi="仿宋" w:hint="eastAsia"/>
          <w:sz w:val="32"/>
          <w:szCs w:val="32"/>
        </w:rPr>
        <w:t>82.05%</w:t>
      </w:r>
      <w:r>
        <w:rPr>
          <w:rFonts w:ascii="仿宋" w:eastAsia="仿宋" w:hAnsi="仿宋" w:hint="eastAsia"/>
          <w:sz w:val="32"/>
          <w:szCs w:val="32"/>
        </w:rPr>
        <w:t>。决算数小于预算数的主要原因是受</w:t>
      </w:r>
      <w:r>
        <w:rPr>
          <w:rFonts w:ascii="仿宋" w:eastAsia="仿宋" w:hAnsi="仿宋" w:hint="eastAsia"/>
          <w:sz w:val="32"/>
          <w:szCs w:val="32"/>
        </w:rPr>
        <w:t>疫情</w:t>
      </w:r>
      <w:r>
        <w:rPr>
          <w:rFonts w:ascii="仿宋" w:eastAsia="仿宋" w:hAnsi="仿宋" w:hint="eastAsia"/>
          <w:sz w:val="32"/>
          <w:szCs w:val="32"/>
        </w:rPr>
        <w:t>影响，“三公”经费支出减少。</w:t>
      </w:r>
    </w:p>
    <w:p w:rsidR="001767E3" w:rsidRDefault="00A60EEF">
      <w:pPr>
        <w:spacing w:line="600" w:lineRule="exact"/>
        <w:ind w:firstLine="640"/>
        <w:outlineLvl w:val="2"/>
        <w:rPr>
          <w:rFonts w:ascii="仿宋" w:eastAsia="仿宋" w:hAnsi="仿宋"/>
          <w:b/>
          <w:sz w:val="32"/>
          <w:szCs w:val="32"/>
        </w:rPr>
      </w:pPr>
      <w:bookmarkStart w:id="39" w:name="_Toc15377217"/>
      <w:r>
        <w:rPr>
          <w:rFonts w:ascii="仿宋" w:eastAsia="仿宋" w:hAnsi="仿宋" w:hint="eastAsia"/>
          <w:b/>
          <w:sz w:val="32"/>
          <w:szCs w:val="32"/>
        </w:rPr>
        <w:t>（二）“三公”经费财政拨款支出决算具体情况说明</w:t>
      </w:r>
      <w:bookmarkEnd w:id="39"/>
    </w:p>
    <w:p w:rsidR="001767E3" w:rsidRDefault="00A60EEF">
      <w:pPr>
        <w:spacing w:line="600" w:lineRule="exact"/>
        <w:ind w:firstLine="640"/>
        <w:rPr>
          <w:rFonts w:ascii="仿宋" w:eastAsia="仿宋" w:hAnsi="仿宋"/>
          <w:sz w:val="32"/>
          <w:szCs w:val="32"/>
        </w:rPr>
      </w:pPr>
      <w:r>
        <w:rPr>
          <w:rFonts w:ascii="楷体_GB2312" w:eastAsia="楷体_GB2312"/>
          <w:noProof/>
        </w:rPr>
        <w:lastRenderedPageBreak/>
        <w:drawing>
          <wp:anchor distT="0" distB="0" distL="114300" distR="114300" simplePos="0" relativeHeight="251664384" behindDoc="0" locked="0" layoutInCell="1" allowOverlap="1">
            <wp:simplePos x="0" y="0"/>
            <wp:positionH relativeFrom="margin">
              <wp:posOffset>219075</wp:posOffset>
            </wp:positionH>
            <wp:positionV relativeFrom="paragraph">
              <wp:posOffset>1724025</wp:posOffset>
            </wp:positionV>
            <wp:extent cx="4714875" cy="2314575"/>
            <wp:effectExtent l="0" t="0" r="9525" b="952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10.58</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1767E3" w:rsidRDefault="00A60EEF">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1767E3" w:rsidRDefault="00A60EEF">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人。因公出国（境）经费支出决算与</w:t>
      </w:r>
      <w:r>
        <w:rPr>
          <w:rFonts w:ascii="仿宋_GB2312" w:eastAsia="仿宋_GB2312" w:hint="eastAsia"/>
          <w:sz w:val="32"/>
          <w:szCs w:val="32"/>
        </w:rPr>
        <w:t>2021</w:t>
      </w:r>
      <w:r>
        <w:rPr>
          <w:rFonts w:ascii="仿宋_GB2312" w:eastAsia="仿宋_GB2312" w:hint="eastAsia"/>
          <w:sz w:val="32"/>
          <w:szCs w:val="32"/>
        </w:rPr>
        <w:t>年无变化。</w:t>
      </w:r>
    </w:p>
    <w:p w:rsidR="001767E3" w:rsidRDefault="00A60EEF">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10.58</w:t>
      </w:r>
      <w:r>
        <w:rPr>
          <w:rFonts w:ascii="仿宋_GB2312" w:eastAsia="仿宋_GB2312" w:hint="eastAsia"/>
          <w:sz w:val="32"/>
          <w:szCs w:val="32"/>
        </w:rPr>
        <w:t>万元</w:t>
      </w:r>
      <w:r>
        <w:rPr>
          <w:rFonts w:ascii="仿宋_GB2312" w:eastAsia="仿宋_GB2312" w:hint="eastAsia"/>
          <w:sz w:val="32"/>
          <w:szCs w:val="32"/>
        </w:rPr>
        <w:t>,</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88.17</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年减少</w:t>
      </w:r>
      <w:r>
        <w:rPr>
          <w:rFonts w:ascii="仿宋" w:eastAsia="仿宋" w:hAnsi="仿宋" w:hint="eastAsia"/>
          <w:sz w:val="32"/>
          <w:szCs w:val="32"/>
        </w:rPr>
        <w:t>48.35</w:t>
      </w:r>
      <w:r>
        <w:rPr>
          <w:rFonts w:ascii="仿宋_GB2312" w:eastAsia="仿宋_GB2312" w:hint="eastAsia"/>
          <w:sz w:val="32"/>
          <w:szCs w:val="32"/>
        </w:rPr>
        <w:t>万元，下降</w:t>
      </w:r>
      <w:r>
        <w:rPr>
          <w:rFonts w:ascii="仿宋" w:eastAsia="仿宋" w:hAnsi="仿宋" w:hint="eastAsia"/>
          <w:sz w:val="32"/>
          <w:szCs w:val="32"/>
        </w:rPr>
        <w:t>82.05</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更新</w:t>
      </w:r>
      <w:r>
        <w:rPr>
          <w:rFonts w:ascii="仿宋_GB2312" w:eastAsia="仿宋_GB2312" w:hint="eastAsia"/>
          <w:sz w:val="32"/>
          <w:szCs w:val="32"/>
        </w:rPr>
        <w:t>大型公务用车一辆</w:t>
      </w:r>
      <w:r>
        <w:rPr>
          <w:rFonts w:ascii="仿宋_GB2312" w:eastAsia="仿宋_GB2312" w:hint="eastAsia"/>
          <w:sz w:val="32"/>
          <w:szCs w:val="32"/>
        </w:rPr>
        <w:t>，产生购置费用，</w:t>
      </w:r>
      <w:r>
        <w:rPr>
          <w:rFonts w:ascii="仿宋_GB2312" w:eastAsia="仿宋_GB2312" w:hint="eastAsia"/>
          <w:sz w:val="32"/>
          <w:szCs w:val="32"/>
        </w:rPr>
        <w:t>2022</w:t>
      </w:r>
      <w:r>
        <w:rPr>
          <w:rFonts w:ascii="仿宋_GB2312" w:eastAsia="仿宋_GB2312" w:hint="eastAsia"/>
          <w:sz w:val="32"/>
          <w:szCs w:val="32"/>
        </w:rPr>
        <w:t>年未购置车辆</w:t>
      </w:r>
      <w:r>
        <w:rPr>
          <w:rFonts w:ascii="仿宋_GB2312" w:eastAsia="仿宋_GB2312" w:hint="eastAsia"/>
          <w:sz w:val="32"/>
          <w:szCs w:val="32"/>
        </w:rPr>
        <w:t>。</w:t>
      </w:r>
    </w:p>
    <w:p w:rsidR="001767E3" w:rsidRDefault="00A60EEF">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2</w:t>
      </w:r>
      <w:r>
        <w:rPr>
          <w:rFonts w:ascii="仿宋_GB2312" w:eastAsia="仿宋_GB2312" w:hint="eastAsia"/>
          <w:sz w:val="32"/>
          <w:szCs w:val="32"/>
        </w:rPr>
        <w:t>辆，其中：轿车</w:t>
      </w:r>
      <w:r>
        <w:rPr>
          <w:rFonts w:ascii="仿宋_GB2312" w:eastAsia="仿宋_GB2312" w:hint="eastAsia"/>
          <w:sz w:val="32"/>
          <w:szCs w:val="32"/>
        </w:rPr>
        <w:t>1</w:t>
      </w:r>
      <w:r>
        <w:rPr>
          <w:rFonts w:ascii="仿宋_GB2312" w:eastAsia="仿宋_GB2312" w:hint="eastAsia"/>
          <w:sz w:val="32"/>
          <w:szCs w:val="32"/>
        </w:rPr>
        <w:t>辆、载客汽车</w:t>
      </w:r>
      <w:r>
        <w:rPr>
          <w:rFonts w:ascii="仿宋_GB2312" w:eastAsia="仿宋_GB2312" w:hint="eastAsia"/>
          <w:sz w:val="32"/>
          <w:szCs w:val="32"/>
        </w:rPr>
        <w:t>1</w:t>
      </w:r>
      <w:r>
        <w:rPr>
          <w:rFonts w:ascii="仿宋_GB2312" w:eastAsia="仿宋_GB2312" w:hint="eastAsia"/>
          <w:sz w:val="32"/>
          <w:szCs w:val="32"/>
        </w:rPr>
        <w:t>辆。</w:t>
      </w:r>
    </w:p>
    <w:p w:rsidR="001767E3" w:rsidRDefault="00A60EEF">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10.58</w:t>
      </w:r>
      <w:r>
        <w:rPr>
          <w:rFonts w:ascii="仿宋_GB2312" w:eastAsia="仿宋_GB2312" w:hint="eastAsia"/>
          <w:sz w:val="32"/>
          <w:szCs w:val="32"/>
        </w:rPr>
        <w:t>万元。主要用</w:t>
      </w:r>
      <w:r>
        <w:rPr>
          <w:rFonts w:ascii="仿宋_GB2312" w:eastAsia="仿宋_GB2312" w:hint="eastAsia"/>
          <w:sz w:val="32"/>
          <w:szCs w:val="32"/>
        </w:rPr>
        <w:t>于机关服</w:t>
      </w:r>
      <w:r>
        <w:rPr>
          <w:rFonts w:ascii="仿宋_GB2312" w:eastAsia="仿宋_GB2312" w:hint="eastAsia"/>
          <w:sz w:val="32"/>
          <w:szCs w:val="32"/>
        </w:rPr>
        <w:lastRenderedPageBreak/>
        <w:t>务保障工作等所需的公务用车燃料费、维修费、过路过桥费、保险费等支出。</w:t>
      </w:r>
    </w:p>
    <w:p w:rsidR="001767E3" w:rsidRDefault="00A60EEF">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公务接待费支出决算与</w:t>
      </w:r>
      <w:r>
        <w:rPr>
          <w:rFonts w:ascii="仿宋_GB2312" w:eastAsia="仿宋_GB2312" w:hint="eastAsia"/>
          <w:sz w:val="32"/>
          <w:szCs w:val="32"/>
        </w:rPr>
        <w:t>2020</w:t>
      </w:r>
      <w:r>
        <w:rPr>
          <w:rFonts w:ascii="仿宋_GB2312" w:eastAsia="仿宋_GB2312" w:hint="eastAsia"/>
          <w:sz w:val="32"/>
          <w:szCs w:val="32"/>
        </w:rPr>
        <w:t>年无变化。其中：</w:t>
      </w:r>
    </w:p>
    <w:p w:rsidR="001767E3" w:rsidRDefault="00A60EEF">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w:t>
      </w:r>
      <w:r>
        <w:rPr>
          <w:rFonts w:ascii="仿宋_GB2312" w:eastAsia="仿宋_GB2312" w:hint="eastAsia"/>
          <w:sz w:val="32"/>
          <w:szCs w:val="32"/>
        </w:rPr>
        <w:t>万元。</w:t>
      </w:r>
    </w:p>
    <w:p w:rsidR="001767E3" w:rsidRDefault="00A60EEF">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bookmarkStart w:id="40" w:name="_Toc15396610"/>
      <w:bookmarkStart w:id="41" w:name="_Toc15377218"/>
    </w:p>
    <w:p w:rsidR="001767E3" w:rsidRDefault="00A60EEF">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0"/>
      <w:bookmarkEnd w:id="41"/>
    </w:p>
    <w:p w:rsidR="001767E3" w:rsidRDefault="00A60EE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1767E3" w:rsidRDefault="00A60EEF">
      <w:pPr>
        <w:numPr>
          <w:ilvl w:val="0"/>
          <w:numId w:val="4"/>
        </w:numPr>
        <w:spacing w:line="600" w:lineRule="exact"/>
        <w:ind w:firstLine="640"/>
        <w:outlineLvl w:val="1"/>
        <w:rPr>
          <w:rStyle w:val="2Char"/>
          <w:rFonts w:ascii="黑体" w:eastAsia="黑体" w:hAnsi="黑体"/>
          <w:b w:val="0"/>
        </w:rPr>
      </w:pPr>
      <w:bookmarkStart w:id="42" w:name="_Toc15396611"/>
      <w:bookmarkStart w:id="43" w:name="_Toc15377219"/>
      <w:r>
        <w:rPr>
          <w:rStyle w:val="2Char"/>
          <w:rFonts w:ascii="黑体" w:eastAsia="黑体" w:hAnsi="黑体" w:hint="eastAsia"/>
          <w:b w:val="0"/>
        </w:rPr>
        <w:t>国有资本经营预算支出决算情况说明</w:t>
      </w:r>
      <w:bookmarkEnd w:id="42"/>
      <w:bookmarkEnd w:id="43"/>
    </w:p>
    <w:p w:rsidR="001767E3" w:rsidRDefault="00A60EE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1767E3" w:rsidRDefault="00A60EEF">
      <w:pPr>
        <w:numPr>
          <w:ilvl w:val="0"/>
          <w:numId w:val="4"/>
        </w:numPr>
        <w:spacing w:line="600" w:lineRule="exact"/>
        <w:ind w:firstLine="640"/>
        <w:outlineLvl w:val="1"/>
        <w:rPr>
          <w:rStyle w:val="2Char"/>
          <w:rFonts w:ascii="黑体" w:eastAsia="黑体" w:hAnsi="黑体"/>
          <w:b w:val="0"/>
        </w:rPr>
      </w:pPr>
      <w:bookmarkStart w:id="44" w:name="_Toc15377221"/>
      <w:bookmarkStart w:id="45" w:name="_Toc15396612"/>
      <w:r>
        <w:rPr>
          <w:rStyle w:val="2Char"/>
          <w:rFonts w:ascii="黑体" w:eastAsia="黑体" w:hAnsi="黑体" w:hint="eastAsia"/>
          <w:b w:val="0"/>
        </w:rPr>
        <w:t>其他重要事项的情况说明</w:t>
      </w:r>
      <w:bookmarkEnd w:id="44"/>
      <w:bookmarkEnd w:id="45"/>
    </w:p>
    <w:p w:rsidR="001767E3" w:rsidRDefault="00A60EEF">
      <w:pPr>
        <w:spacing w:line="600" w:lineRule="exact"/>
        <w:ind w:firstLineChars="200" w:firstLine="643"/>
        <w:outlineLvl w:val="2"/>
        <w:rPr>
          <w:rFonts w:ascii="仿宋" w:eastAsia="仿宋" w:hAnsi="仿宋"/>
          <w:sz w:val="32"/>
          <w:szCs w:val="32"/>
        </w:rPr>
      </w:pPr>
      <w:bookmarkStart w:id="46" w:name="_Toc15377222"/>
      <w:r>
        <w:rPr>
          <w:rFonts w:ascii="仿宋" w:eastAsia="仿宋" w:hAnsi="仿宋" w:hint="eastAsia"/>
          <w:b/>
          <w:sz w:val="32"/>
          <w:szCs w:val="32"/>
        </w:rPr>
        <w:t>（一）机关运行经费支出情况</w:t>
      </w:r>
      <w:bookmarkEnd w:id="46"/>
    </w:p>
    <w:p w:rsidR="001767E3" w:rsidRDefault="00A60EE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年，单位机关运行经费支出</w:t>
      </w:r>
      <w:r>
        <w:rPr>
          <w:rFonts w:ascii="仿宋_GB2312" w:eastAsia="仿宋_GB2312" w:hint="eastAsia"/>
          <w:sz w:val="32"/>
          <w:szCs w:val="32"/>
        </w:rPr>
        <w:t>0</w:t>
      </w:r>
      <w:r>
        <w:rPr>
          <w:rFonts w:ascii="仿宋_GB2312" w:eastAsia="仿宋_GB2312" w:hint="eastAsia"/>
          <w:sz w:val="32"/>
          <w:szCs w:val="32"/>
        </w:rPr>
        <w:t>万元，与</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年决算数持平。</w:t>
      </w:r>
    </w:p>
    <w:p w:rsidR="001767E3" w:rsidRDefault="00A60EEF">
      <w:pPr>
        <w:autoSpaceDE w:val="0"/>
        <w:autoSpaceDN w:val="0"/>
        <w:adjustRightInd w:val="0"/>
        <w:spacing w:line="600" w:lineRule="exact"/>
        <w:ind w:firstLineChars="200" w:firstLine="643"/>
        <w:jc w:val="left"/>
        <w:outlineLvl w:val="2"/>
        <w:rPr>
          <w:rFonts w:ascii="仿宋" w:eastAsia="仿宋" w:hAnsi="仿宋"/>
          <w:b/>
          <w:sz w:val="32"/>
          <w:szCs w:val="32"/>
        </w:rPr>
      </w:pPr>
      <w:bookmarkStart w:id="47" w:name="_Toc15377223"/>
      <w:r>
        <w:rPr>
          <w:rFonts w:ascii="仿宋" w:eastAsia="仿宋" w:hAnsi="仿宋" w:hint="eastAsia"/>
          <w:b/>
          <w:sz w:val="32"/>
          <w:szCs w:val="32"/>
        </w:rPr>
        <w:t>（二）政府采购支出情况</w:t>
      </w:r>
      <w:bookmarkEnd w:id="47"/>
    </w:p>
    <w:p w:rsidR="001767E3" w:rsidRDefault="00A60EEF">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年，单位政府采购支出总额</w:t>
      </w:r>
      <w:r>
        <w:rPr>
          <w:rFonts w:ascii="仿宋_GB2312" w:eastAsia="仿宋_GB2312" w:hint="eastAsia"/>
          <w:sz w:val="32"/>
          <w:szCs w:val="32"/>
        </w:rPr>
        <w:t>13.77</w:t>
      </w:r>
      <w:r>
        <w:rPr>
          <w:rFonts w:ascii="仿宋_GB2312" w:eastAsia="仿宋_GB2312" w:hint="eastAsia"/>
          <w:sz w:val="32"/>
          <w:szCs w:val="32"/>
        </w:rPr>
        <w:t>万元，其中：政府采购货物支出</w:t>
      </w:r>
      <w:r>
        <w:rPr>
          <w:rFonts w:ascii="仿宋_GB2312" w:eastAsia="仿宋_GB2312" w:hint="eastAsia"/>
          <w:sz w:val="32"/>
          <w:szCs w:val="32"/>
        </w:rPr>
        <w:t>4.77</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9</w:t>
      </w:r>
      <w:r>
        <w:rPr>
          <w:rFonts w:ascii="仿宋_GB2312" w:eastAsia="仿宋_GB2312" w:hint="eastAsia"/>
          <w:sz w:val="32"/>
          <w:szCs w:val="32"/>
        </w:rPr>
        <w:t>万元。主要用于公务用车加油、维修等。授予中小企业合同金额</w:t>
      </w:r>
      <w:r>
        <w:rPr>
          <w:rFonts w:ascii="仿宋_GB2312" w:eastAsia="仿宋_GB2312" w:hint="eastAsia"/>
          <w:sz w:val="32"/>
          <w:szCs w:val="32"/>
        </w:rPr>
        <w:t>13.77</w:t>
      </w:r>
      <w:r>
        <w:rPr>
          <w:rFonts w:ascii="仿宋_GB2312" w:eastAsia="仿宋_GB2312" w:hint="eastAsia"/>
          <w:sz w:val="32"/>
          <w:szCs w:val="32"/>
        </w:rPr>
        <w:t>万元，占政府采购支出总额的</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hint="eastAsia"/>
          <w:sz w:val="32"/>
          <w:szCs w:val="32"/>
        </w:rPr>
        <w:t>0.84</w:t>
      </w:r>
      <w:r>
        <w:rPr>
          <w:rFonts w:ascii="仿宋_GB2312" w:eastAsia="仿宋_GB2312" w:hint="eastAsia"/>
          <w:sz w:val="32"/>
          <w:szCs w:val="32"/>
        </w:rPr>
        <w:t>万元，占政府采购支出总额的</w:t>
      </w:r>
      <w:r>
        <w:rPr>
          <w:rFonts w:ascii="仿宋_GB2312" w:eastAsia="仿宋_GB2312" w:hint="eastAsia"/>
          <w:sz w:val="32"/>
          <w:szCs w:val="32"/>
        </w:rPr>
        <w:t>6.1</w:t>
      </w:r>
      <w:r>
        <w:rPr>
          <w:rFonts w:ascii="仿宋_GB2312" w:eastAsia="仿宋_GB2312"/>
          <w:sz w:val="32"/>
          <w:szCs w:val="32"/>
        </w:rPr>
        <w:t>%</w:t>
      </w:r>
      <w:r>
        <w:rPr>
          <w:rFonts w:ascii="仿宋_GB2312" w:eastAsia="仿宋_GB2312" w:hint="eastAsia"/>
          <w:sz w:val="32"/>
          <w:szCs w:val="32"/>
        </w:rPr>
        <w:t>。</w:t>
      </w:r>
    </w:p>
    <w:p w:rsidR="001767E3" w:rsidRDefault="00A60EEF">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4"/>
      <w:r>
        <w:rPr>
          <w:rFonts w:ascii="仿宋" w:eastAsia="仿宋" w:hAnsi="仿宋" w:hint="eastAsia"/>
          <w:b/>
          <w:sz w:val="32"/>
          <w:szCs w:val="32"/>
        </w:rPr>
        <w:t>（三）国有资产占有使用情况</w:t>
      </w:r>
      <w:bookmarkEnd w:id="48"/>
    </w:p>
    <w:p w:rsidR="001767E3" w:rsidRDefault="00A60EEF">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日，单位共有车辆</w:t>
      </w:r>
      <w:r>
        <w:rPr>
          <w:rFonts w:ascii="仿宋_GB2312" w:eastAsia="仿宋_GB2312" w:hint="eastAsia"/>
          <w:sz w:val="32"/>
          <w:szCs w:val="32"/>
        </w:rPr>
        <w:t>2</w:t>
      </w:r>
      <w:r>
        <w:rPr>
          <w:rFonts w:ascii="仿宋_GB2312" w:eastAsia="仿宋_GB2312" w:hint="eastAsia"/>
          <w:sz w:val="32"/>
          <w:szCs w:val="32"/>
        </w:rPr>
        <w:t>辆，其中：其他</w:t>
      </w:r>
      <w:r>
        <w:rPr>
          <w:rFonts w:ascii="仿宋_GB2312" w:eastAsia="仿宋_GB2312" w:hint="eastAsia"/>
          <w:sz w:val="32"/>
          <w:szCs w:val="32"/>
        </w:rPr>
        <w:lastRenderedPageBreak/>
        <w:t>用车</w:t>
      </w:r>
      <w:r>
        <w:rPr>
          <w:rFonts w:ascii="仿宋_GB2312" w:eastAsia="仿宋_GB2312" w:hint="eastAsia"/>
          <w:sz w:val="32"/>
          <w:szCs w:val="32"/>
        </w:rPr>
        <w:t>2</w:t>
      </w:r>
      <w:r>
        <w:rPr>
          <w:rFonts w:ascii="仿宋_GB2312" w:eastAsia="仿宋_GB2312" w:hint="eastAsia"/>
          <w:sz w:val="32"/>
          <w:szCs w:val="32"/>
        </w:rPr>
        <w:t>辆，其他用车主要是用于机关后勤保障服务工作。单价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1767E3" w:rsidRDefault="00A60EEF">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1767E3" w:rsidRDefault="00A60EEF">
      <w:pPr>
        <w:pStyle w:val="a0"/>
        <w:spacing w:before="93"/>
        <w:ind w:firstLineChars="200" w:firstLine="640"/>
        <w:rPr>
          <w:highlight w:val="yellow"/>
        </w:rPr>
      </w:pPr>
      <w:r>
        <w:rPr>
          <w:rFonts w:hAnsi="仿宋_GB2312" w:cs="仿宋_GB2312" w:hint="eastAsia"/>
          <w:sz w:val="32"/>
          <w:szCs w:val="32"/>
        </w:rPr>
        <w:t>根据预算绩效管理要求，本单位在</w:t>
      </w:r>
      <w:r>
        <w:rPr>
          <w:rFonts w:hAnsi="仿宋_GB2312" w:cs="仿宋_GB2312" w:hint="eastAsia"/>
          <w:sz w:val="32"/>
          <w:szCs w:val="32"/>
        </w:rPr>
        <w:t>2022</w:t>
      </w:r>
      <w:r>
        <w:rPr>
          <w:rFonts w:hAnsi="仿宋_GB2312" w:cs="仿宋_GB2312" w:hint="eastAsia"/>
          <w:sz w:val="32"/>
          <w:szCs w:val="32"/>
        </w:rPr>
        <w:t>年度预算编制阶段，无需开展预算事前绩效评估的项目，对</w:t>
      </w:r>
      <w:r>
        <w:rPr>
          <w:rFonts w:hAnsi="仿宋_GB2312" w:cs="仿宋_GB2312" w:hint="eastAsia"/>
          <w:sz w:val="32"/>
          <w:szCs w:val="32"/>
        </w:rPr>
        <w:t>1</w:t>
      </w:r>
      <w:r>
        <w:rPr>
          <w:rFonts w:hAnsi="仿宋_GB2312" w:cs="仿宋_GB2312" w:hint="eastAsia"/>
          <w:sz w:val="32"/>
          <w:szCs w:val="32"/>
        </w:rPr>
        <w:t>个项目编制了绩效目标，预算执行过程中，选取</w:t>
      </w:r>
      <w:r>
        <w:rPr>
          <w:rFonts w:hAnsi="仿宋_GB2312" w:cs="仿宋_GB2312" w:hint="eastAsia"/>
          <w:sz w:val="32"/>
          <w:szCs w:val="32"/>
        </w:rPr>
        <w:t>1</w:t>
      </w:r>
      <w:r>
        <w:rPr>
          <w:rFonts w:hAnsi="仿宋_GB2312" w:cs="仿宋_GB2312" w:hint="eastAsia"/>
          <w:sz w:val="32"/>
          <w:szCs w:val="32"/>
        </w:rPr>
        <w:t>个项目开展绩效监控，组织对</w:t>
      </w:r>
      <w:r>
        <w:rPr>
          <w:rFonts w:hAnsi="仿宋_GB2312" w:cs="仿宋_GB2312" w:hint="eastAsia"/>
          <w:sz w:val="32"/>
          <w:szCs w:val="32"/>
        </w:rPr>
        <w:t>1</w:t>
      </w:r>
      <w:r>
        <w:rPr>
          <w:rFonts w:hAnsi="仿宋_GB2312" w:cs="仿宋_GB2312" w:hint="eastAsia"/>
          <w:sz w:val="32"/>
          <w:szCs w:val="32"/>
        </w:rPr>
        <w:t>个项目开展绩效自评，绩效自评表详见第四部分附件。</w:t>
      </w:r>
    </w:p>
    <w:p w:rsidR="001767E3" w:rsidRDefault="00A60EEF">
      <w:pPr>
        <w:widowControl/>
        <w:jc w:val="left"/>
        <w:rPr>
          <w:rFonts w:ascii="仿宋_GB2312" w:eastAsia="仿宋_GB2312"/>
          <w:b/>
          <w:sz w:val="32"/>
          <w:szCs w:val="32"/>
        </w:rPr>
      </w:pPr>
      <w:r>
        <w:rPr>
          <w:rFonts w:ascii="仿宋_GB2312" w:eastAsia="仿宋_GB2312"/>
          <w:b/>
          <w:sz w:val="32"/>
          <w:szCs w:val="32"/>
        </w:rPr>
        <w:br w:type="page"/>
      </w:r>
    </w:p>
    <w:p w:rsidR="001767E3" w:rsidRDefault="00A60EEF">
      <w:pPr>
        <w:numPr>
          <w:ilvl w:val="0"/>
          <w:numId w:val="5"/>
        </w:numPr>
        <w:spacing w:line="600" w:lineRule="exact"/>
        <w:ind w:firstLineChars="150" w:firstLine="660"/>
        <w:jc w:val="center"/>
        <w:outlineLvl w:val="0"/>
        <w:rPr>
          <w:rStyle w:val="1Char"/>
          <w:rFonts w:ascii="黑体" w:eastAsia="黑体" w:hAnsi="黑体"/>
          <w:b w:val="0"/>
        </w:rPr>
      </w:pPr>
      <w:bookmarkStart w:id="49" w:name="_Toc15377225"/>
      <w:bookmarkStart w:id="50"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49"/>
      <w:bookmarkEnd w:id="50"/>
    </w:p>
    <w:p w:rsidR="001767E3" w:rsidRDefault="001767E3">
      <w:pPr>
        <w:spacing w:line="600" w:lineRule="exact"/>
        <w:jc w:val="left"/>
        <w:rPr>
          <w:rFonts w:ascii="宋体"/>
          <w:b/>
          <w:sz w:val="44"/>
          <w:szCs w:val="44"/>
        </w:rPr>
      </w:pPr>
    </w:p>
    <w:p w:rsidR="001767E3" w:rsidRDefault="00A60EE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1767E3" w:rsidRDefault="00A60EEF">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hint="eastAsia"/>
        </w:rPr>
        <w:t xml:space="preserve"> </w:t>
      </w:r>
      <w:r>
        <w:rPr>
          <w:rFonts w:ascii="仿宋_GB2312" w:eastAsia="仿宋_GB2312" w:hint="eastAsia"/>
          <w:sz w:val="32"/>
          <w:szCs w:val="32"/>
        </w:rPr>
        <w:t>一般公共服务（类）其他一般公共服务支出（款）其他一般公共服务支出（项）：指其他一般公共服务支出。</w:t>
      </w:r>
    </w:p>
    <w:p w:rsidR="001767E3" w:rsidRDefault="00A60EEF">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hint="eastAsia"/>
        </w:rPr>
        <w:t xml:space="preserve"> </w:t>
      </w:r>
      <w:r>
        <w:rPr>
          <w:rFonts w:ascii="仿宋_GB2312" w:eastAsia="仿宋_GB2312" w:hint="eastAsia"/>
          <w:sz w:val="32"/>
          <w:szCs w:val="32"/>
        </w:rPr>
        <w:t>教育支出（类）教育管理事务（款）机关服务（项）：指为行政单位提供后勤服务的各类后勤服务中心等附属事业单位的支出。</w:t>
      </w:r>
    </w:p>
    <w:p w:rsidR="001767E3" w:rsidRDefault="00A60EEF">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hint="eastAsia"/>
        </w:rPr>
        <w:t xml:space="preserve"> </w:t>
      </w:r>
      <w:r>
        <w:rPr>
          <w:rFonts w:ascii="仿宋_GB2312" w:eastAsia="仿宋_GB2312" w:hint="eastAsia"/>
          <w:sz w:val="32"/>
          <w:szCs w:val="32"/>
        </w:rPr>
        <w:t>社会保障和就业支出（类）行政事业单位养老支出（款）事业单位离退休（项）：反映单位开支的离退休经费。</w:t>
      </w:r>
    </w:p>
    <w:p w:rsidR="001767E3" w:rsidRDefault="00A60EEF">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hint="eastAsia"/>
        </w:rPr>
        <w:t xml:space="preserve"> </w:t>
      </w:r>
      <w:r>
        <w:rPr>
          <w:rFonts w:ascii="仿宋_GB2312" w:eastAsia="仿宋_GB2312" w:hint="eastAsia"/>
          <w:sz w:val="32"/>
          <w:szCs w:val="32"/>
        </w:rPr>
        <w:t>社会保障和就业支出（类）行政事业单位养老支出（款）机关事业单位基本养老保险缴费支出（项）：反映机关事业单位实施养老保险制度由单位缴纳的基本保险费支出。</w:t>
      </w:r>
    </w:p>
    <w:p w:rsidR="001767E3" w:rsidRDefault="00A60EEF">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hint="eastAsia"/>
        </w:rPr>
        <w:t xml:space="preserve"> </w:t>
      </w:r>
      <w:r>
        <w:rPr>
          <w:rFonts w:ascii="仿宋_GB2312" w:eastAsia="仿宋_GB2312" w:hint="eastAsia"/>
          <w:sz w:val="32"/>
          <w:szCs w:val="32"/>
        </w:rPr>
        <w:t>卫生健康支出（类）行政事业单位医疗（款）事业单位医疗（项）：反映财政部门集中安排的事业单位基本医疗保险缴费。</w:t>
      </w:r>
    </w:p>
    <w:p w:rsidR="001767E3" w:rsidRDefault="00A60EEF">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hint="eastAsia"/>
        </w:rPr>
        <w:t xml:space="preserve"> </w:t>
      </w:r>
      <w:r>
        <w:rPr>
          <w:rFonts w:ascii="仿宋_GB2312" w:eastAsia="仿宋_GB2312" w:hint="eastAsia"/>
          <w:sz w:val="32"/>
          <w:szCs w:val="32"/>
        </w:rPr>
        <w:t>住房保障支出</w:t>
      </w:r>
      <w:r>
        <w:rPr>
          <w:rFonts w:ascii="仿宋_GB2312" w:eastAsia="仿宋_GB2312" w:hint="eastAsia"/>
          <w:sz w:val="32"/>
          <w:szCs w:val="32"/>
        </w:rPr>
        <w:t>（类）住房改革支出（款）住房公积金（项）：反映单位按人力资源和社会保障部、财政部规定的基本工资和津贴补贴以及规定比例为职工缴纳的住房公积金。</w:t>
      </w:r>
    </w:p>
    <w:p w:rsidR="001767E3" w:rsidRDefault="00A60EEF">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1767E3" w:rsidRDefault="00A60EEF">
      <w:pPr>
        <w:ind w:firstLineChars="200" w:firstLine="640"/>
        <w:rPr>
          <w:rFonts w:ascii="仿宋_GB2312" w:eastAsia="仿宋_GB2312"/>
          <w:sz w:val="32"/>
          <w:szCs w:val="32"/>
        </w:rPr>
      </w:pPr>
      <w:r>
        <w:rPr>
          <w:rFonts w:ascii="仿宋_GB2312" w:eastAsia="仿宋_GB2312" w:hint="eastAsia"/>
          <w:sz w:val="32"/>
          <w:szCs w:val="32"/>
        </w:rPr>
        <w:lastRenderedPageBreak/>
        <w:t>9</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1767E3" w:rsidRDefault="00A60EE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10</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w:t>
      </w:r>
      <w:r>
        <w:rPr>
          <w:rFonts w:ascii="仿宋_GB2312" w:eastAsia="仿宋_GB2312" w:hint="eastAsia"/>
          <w:color w:val="auto"/>
          <w:sz w:val="32"/>
          <w:szCs w:val="32"/>
        </w:rPr>
        <w:t>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1767E3" w:rsidRDefault="00A60EEF">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11</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767E3" w:rsidRDefault="00A60EEF">
      <w:pPr>
        <w:spacing w:line="600" w:lineRule="exact"/>
        <w:jc w:val="center"/>
        <w:outlineLvl w:val="0"/>
        <w:rPr>
          <w:rStyle w:val="1Char"/>
          <w:rFonts w:ascii="黑体" w:eastAsia="黑体" w:hAnsi="黑体"/>
          <w:b w:val="0"/>
        </w:rPr>
      </w:pPr>
      <w:bookmarkStart w:id="51" w:name="_Toc15377226"/>
      <w:r>
        <w:rPr>
          <w:rFonts w:ascii="宋体"/>
          <w:b/>
          <w:sz w:val="44"/>
          <w:szCs w:val="44"/>
        </w:rPr>
        <w:br w:type="page"/>
      </w:r>
      <w:bookmarkStart w:id="52" w:name="_Toc15396614"/>
      <w:r>
        <w:rPr>
          <w:rFonts w:ascii="黑体" w:eastAsia="黑体" w:hAnsi="黑体" w:hint="eastAsia"/>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2"/>
    </w:p>
    <w:p w:rsidR="001767E3" w:rsidRDefault="001767E3">
      <w:pPr>
        <w:spacing w:line="572" w:lineRule="exact"/>
        <w:jc w:val="left"/>
        <w:outlineLvl w:val="0"/>
        <w:rPr>
          <w:rFonts w:ascii="仿宋_GB2312" w:eastAsia="仿宋_GB2312" w:hAnsi="仿宋_GB2312" w:cs="仿宋_GB2312"/>
          <w:sz w:val="32"/>
          <w:szCs w:val="32"/>
        </w:rPr>
      </w:pPr>
    </w:p>
    <w:tbl>
      <w:tblPr>
        <w:tblW w:w="5000" w:type="pct"/>
        <w:tblLook w:val="04A0" w:firstRow="1" w:lastRow="0" w:firstColumn="1" w:lastColumn="0" w:noHBand="0" w:noVBand="1"/>
      </w:tblPr>
      <w:tblGrid>
        <w:gridCol w:w="576"/>
        <w:gridCol w:w="1059"/>
        <w:gridCol w:w="894"/>
        <w:gridCol w:w="1186"/>
        <w:gridCol w:w="396"/>
        <w:gridCol w:w="835"/>
        <w:gridCol w:w="396"/>
        <w:gridCol w:w="756"/>
        <w:gridCol w:w="486"/>
        <w:gridCol w:w="576"/>
        <w:gridCol w:w="1362"/>
      </w:tblGrid>
      <w:tr w:rsidR="00B82DB9" w:rsidRPr="00B82DB9" w:rsidTr="00B82DB9">
        <w:trPr>
          <w:trHeight w:val="904"/>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黑体" w:eastAsia="黑体" w:hAnsi="黑体" w:cs="宋体"/>
                <w:b/>
                <w:bCs/>
                <w:color w:val="000000"/>
                <w:kern w:val="0"/>
                <w:sz w:val="30"/>
                <w:szCs w:val="30"/>
              </w:rPr>
            </w:pPr>
            <w:bookmarkStart w:id="53" w:name="_Toc15396618"/>
            <w:r w:rsidRPr="00B82DB9">
              <w:rPr>
                <w:rFonts w:ascii="黑体" w:eastAsia="黑体" w:hAnsi="黑体" w:cs="宋体" w:hint="eastAsia"/>
                <w:b/>
                <w:bCs/>
                <w:color w:val="000000"/>
                <w:kern w:val="0"/>
                <w:sz w:val="30"/>
                <w:szCs w:val="30"/>
              </w:rPr>
              <w:t>部门预算项目支出绩效自评表（2022年度）</w:t>
            </w:r>
          </w:p>
        </w:tc>
      </w:tr>
      <w:tr w:rsidR="00B82DB9" w:rsidRPr="00B82DB9" w:rsidTr="00B82DB9">
        <w:trPr>
          <w:trHeight w:val="286"/>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项目名称</w:t>
            </w:r>
          </w:p>
        </w:tc>
        <w:tc>
          <w:tcPr>
            <w:tcW w:w="4038" w:type="pct"/>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51000022T000000247156-设备购置经费</w:t>
            </w:r>
          </w:p>
        </w:tc>
      </w:tr>
      <w:tr w:rsidR="00B82DB9" w:rsidRPr="00B82DB9" w:rsidTr="00B82DB9">
        <w:trPr>
          <w:trHeight w:val="512"/>
        </w:trPr>
        <w:tc>
          <w:tcPr>
            <w:tcW w:w="9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主管部门</w:t>
            </w:r>
          </w:p>
        </w:tc>
        <w:tc>
          <w:tcPr>
            <w:tcW w:w="2373"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四川省教育厅部门</w:t>
            </w:r>
          </w:p>
        </w:tc>
        <w:tc>
          <w:tcPr>
            <w:tcW w:w="385" w:type="pct"/>
            <w:tcBorders>
              <w:top w:val="nil"/>
              <w:left w:val="nil"/>
              <w:bottom w:val="nil"/>
              <w:right w:val="nil"/>
            </w:tcBorders>
            <w:shd w:val="clear" w:color="auto" w:fill="auto"/>
            <w:vAlign w:val="center"/>
            <w:hideMark/>
          </w:tcPr>
          <w:p w:rsidR="00B82DB9" w:rsidRPr="00B82DB9" w:rsidRDefault="00B82DB9" w:rsidP="00B82DB9">
            <w:pPr>
              <w:widowControl/>
              <w:jc w:val="left"/>
              <w:rPr>
                <w:rFonts w:ascii="simhei" w:hAnsi="simhei" w:cs="宋体"/>
                <w:color w:val="000000"/>
                <w:kern w:val="0"/>
                <w:sz w:val="18"/>
                <w:szCs w:val="18"/>
              </w:rPr>
            </w:pPr>
            <w:r w:rsidRPr="00B82DB9">
              <w:rPr>
                <w:rFonts w:ascii="simhei" w:hAnsi="simhei" w:cs="宋体"/>
                <w:color w:val="000000"/>
                <w:kern w:val="0"/>
                <w:sz w:val="18"/>
                <w:szCs w:val="18"/>
              </w:rPr>
              <w:t>实施单位</w:t>
            </w:r>
            <w:r w:rsidRPr="00B82DB9">
              <w:rPr>
                <w:rFonts w:ascii="simhei" w:hAnsi="simhei" w:cs="宋体"/>
                <w:color w:val="000000"/>
                <w:kern w:val="0"/>
                <w:sz w:val="18"/>
                <w:szCs w:val="18"/>
              </w:rPr>
              <w:t xml:space="preserve"> </w:t>
            </w:r>
            <w:r w:rsidRPr="00B82DB9">
              <w:rPr>
                <w:rFonts w:ascii="simhei" w:hAnsi="simhei" w:cs="宋体"/>
                <w:color w:val="000000"/>
                <w:kern w:val="0"/>
                <w:sz w:val="18"/>
                <w:szCs w:val="18"/>
              </w:rPr>
              <w:t>（盖章）</w:t>
            </w:r>
          </w:p>
        </w:tc>
        <w:tc>
          <w:tcPr>
            <w:tcW w:w="12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四川省教育厅机关服务中心</w:t>
            </w:r>
          </w:p>
        </w:tc>
      </w:tr>
      <w:tr w:rsidR="00B82DB9" w:rsidRPr="00B82DB9" w:rsidTr="00B82DB9">
        <w:trPr>
          <w:trHeight w:val="286"/>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项目基本情况</w:t>
            </w:r>
          </w:p>
        </w:tc>
        <w:tc>
          <w:tcPr>
            <w:tcW w:w="72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1.项目年度目标完成情况</w:t>
            </w:r>
          </w:p>
        </w:tc>
        <w:tc>
          <w:tcPr>
            <w:tcW w:w="2373"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项目年度目标</w:t>
            </w:r>
          </w:p>
        </w:tc>
        <w:tc>
          <w:tcPr>
            <w:tcW w:w="1666"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simhei" w:hAnsi="simhei" w:cs="宋体"/>
                <w:color w:val="000000"/>
                <w:kern w:val="0"/>
                <w:sz w:val="18"/>
                <w:szCs w:val="18"/>
              </w:rPr>
            </w:pPr>
            <w:r w:rsidRPr="00B82DB9">
              <w:rPr>
                <w:rFonts w:ascii="simhei" w:hAnsi="simhei" w:cs="宋体"/>
                <w:color w:val="000000"/>
                <w:kern w:val="0"/>
                <w:sz w:val="18"/>
                <w:szCs w:val="18"/>
              </w:rPr>
              <w:t>年度目标完成情况</w:t>
            </w:r>
          </w:p>
        </w:tc>
      </w:tr>
      <w:tr w:rsidR="00B82DB9" w:rsidRPr="00B82DB9" w:rsidTr="00B82DB9">
        <w:trPr>
          <w:trHeight w:val="708"/>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2373"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购买空调一台</w:t>
            </w:r>
          </w:p>
        </w:tc>
        <w:tc>
          <w:tcPr>
            <w:tcW w:w="1666"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simhei" w:hAnsi="simhei" w:cs="宋体"/>
                <w:color w:val="000000"/>
                <w:kern w:val="0"/>
                <w:sz w:val="18"/>
                <w:szCs w:val="18"/>
              </w:rPr>
            </w:pPr>
            <w:r w:rsidRPr="00B82DB9">
              <w:rPr>
                <w:rFonts w:ascii="simhei" w:hAnsi="simhei" w:cs="宋体"/>
                <w:color w:val="000000"/>
                <w:kern w:val="0"/>
                <w:sz w:val="18"/>
                <w:szCs w:val="18"/>
              </w:rPr>
              <w:t>购买空调一台</w:t>
            </w:r>
          </w:p>
        </w:tc>
      </w:tr>
      <w:tr w:rsidR="00B82DB9" w:rsidRPr="00B82DB9" w:rsidTr="00B82DB9">
        <w:trPr>
          <w:trHeight w:val="693"/>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2.项目实施内容及过程概述</w:t>
            </w:r>
          </w:p>
        </w:tc>
        <w:tc>
          <w:tcPr>
            <w:tcW w:w="4038" w:type="pct"/>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r w:rsidRPr="00B82DB9">
              <w:rPr>
                <w:rFonts w:ascii="宋体" w:hAnsi="宋体" w:cs="宋体" w:hint="eastAsia"/>
                <w:color w:val="000000"/>
                <w:kern w:val="0"/>
                <w:sz w:val="18"/>
                <w:szCs w:val="18"/>
              </w:rPr>
              <w:t>通过政府采购平台，购买空调一台</w:t>
            </w:r>
          </w:p>
        </w:tc>
      </w:tr>
      <w:tr w:rsidR="00B82DB9" w:rsidRPr="00B82DB9" w:rsidTr="00B82DB9">
        <w:trPr>
          <w:trHeight w:val="361"/>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预算执行情况（10分）</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年度预算数（万元）</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年初预算</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调整</w:t>
            </w:r>
            <w:proofErr w:type="gramStart"/>
            <w:r w:rsidRPr="00B82DB9">
              <w:rPr>
                <w:rFonts w:ascii="宋体" w:hAnsi="宋体" w:cs="宋体" w:hint="eastAsia"/>
                <w:color w:val="000000"/>
                <w:kern w:val="0"/>
                <w:sz w:val="18"/>
                <w:szCs w:val="18"/>
              </w:rPr>
              <w:t>后预算</w:t>
            </w:r>
            <w:proofErr w:type="gramEnd"/>
            <w:r w:rsidRPr="00B82DB9">
              <w:rPr>
                <w:rFonts w:ascii="宋体" w:hAnsi="宋体" w:cs="宋体" w:hint="eastAsia"/>
                <w:color w:val="000000"/>
                <w:kern w:val="0"/>
                <w:sz w:val="18"/>
                <w:szCs w:val="18"/>
              </w:rPr>
              <w:t>数</w:t>
            </w:r>
          </w:p>
        </w:tc>
        <w:tc>
          <w:tcPr>
            <w:tcW w:w="95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预算执行数</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预算执行率</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权重</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得分</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原因</w:t>
            </w:r>
          </w:p>
        </w:tc>
      </w:tr>
      <w:tr w:rsidR="00B82DB9" w:rsidRPr="00B82DB9" w:rsidTr="00B82DB9">
        <w:trPr>
          <w:trHeight w:val="387"/>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总额</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0.30</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0.30</w:t>
            </w:r>
          </w:p>
        </w:tc>
        <w:tc>
          <w:tcPr>
            <w:tcW w:w="95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0.28</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94.33%</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10</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9.43</w:t>
            </w:r>
          </w:p>
        </w:tc>
        <w:tc>
          <w:tcPr>
            <w:tcW w:w="89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simhei" w:hAnsi="simhei" w:cs="宋体"/>
                <w:iCs/>
                <w:color w:val="000000"/>
                <w:kern w:val="0"/>
                <w:sz w:val="18"/>
                <w:szCs w:val="18"/>
              </w:rPr>
            </w:pPr>
            <w:r w:rsidRPr="00B82DB9">
              <w:rPr>
                <w:rFonts w:ascii="simhei" w:hAnsi="simhei" w:cs="宋体" w:hint="eastAsia"/>
                <w:iCs/>
                <w:color w:val="000000"/>
                <w:kern w:val="0"/>
                <w:sz w:val="18"/>
                <w:szCs w:val="18"/>
              </w:rPr>
              <w:t>该项目绩效目标完成良好</w:t>
            </w:r>
          </w:p>
        </w:tc>
      </w:tr>
      <w:tr w:rsidR="00B82DB9" w:rsidRPr="00B82DB9" w:rsidTr="00B82DB9">
        <w:trPr>
          <w:trHeight w:val="432"/>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其中：财政资金</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0.30</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0.30</w:t>
            </w:r>
          </w:p>
        </w:tc>
        <w:tc>
          <w:tcPr>
            <w:tcW w:w="95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0.28</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94.33%</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897"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simhei" w:hAnsi="simhei" w:cs="宋体"/>
                <w:i/>
                <w:iCs/>
                <w:color w:val="000000"/>
                <w:kern w:val="0"/>
                <w:sz w:val="18"/>
                <w:szCs w:val="18"/>
              </w:rPr>
            </w:pPr>
          </w:p>
        </w:tc>
      </w:tr>
      <w:tr w:rsidR="00B82DB9" w:rsidRPr="00B82DB9" w:rsidTr="00B82DB9">
        <w:trPr>
          <w:trHeight w:val="447"/>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财政专户管理资金</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0.00</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0.00</w:t>
            </w:r>
          </w:p>
        </w:tc>
        <w:tc>
          <w:tcPr>
            <w:tcW w:w="95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0.00%</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897"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simhei" w:hAnsi="simhei" w:cs="宋体"/>
                <w:i/>
                <w:iCs/>
                <w:color w:val="000000"/>
                <w:kern w:val="0"/>
                <w:sz w:val="18"/>
                <w:szCs w:val="18"/>
              </w:rPr>
            </w:pPr>
          </w:p>
        </w:tc>
      </w:tr>
      <w:tr w:rsidR="00B82DB9" w:rsidRPr="00B82DB9" w:rsidTr="00B82DB9">
        <w:trPr>
          <w:trHeight w:val="402"/>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单位资金</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0.00</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0.00</w:t>
            </w:r>
          </w:p>
        </w:tc>
        <w:tc>
          <w:tcPr>
            <w:tcW w:w="95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0.00%</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897"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simhei" w:hAnsi="simhei" w:cs="宋体"/>
                <w:i/>
                <w:iCs/>
                <w:color w:val="000000"/>
                <w:kern w:val="0"/>
                <w:sz w:val="18"/>
                <w:szCs w:val="18"/>
              </w:rPr>
            </w:pPr>
          </w:p>
        </w:tc>
      </w:tr>
      <w:tr w:rsidR="00B82DB9" w:rsidRPr="00B82DB9" w:rsidTr="00B82DB9">
        <w:trPr>
          <w:trHeight w:val="379"/>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其他资金</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微软雅黑" w:eastAsia="微软雅黑" w:hAnsi="微软雅黑" w:cs="宋体"/>
                <w:i/>
                <w:iCs/>
                <w:color w:val="000000"/>
                <w:kern w:val="0"/>
                <w:sz w:val="16"/>
                <w:szCs w:val="16"/>
              </w:rPr>
            </w:pP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微软雅黑" w:eastAsia="微软雅黑" w:hAnsi="微软雅黑" w:cs="宋体"/>
                <w:i/>
                <w:iCs/>
                <w:color w:val="000000"/>
                <w:kern w:val="0"/>
                <w:sz w:val="16"/>
                <w:szCs w:val="16"/>
              </w:rPr>
            </w:pPr>
          </w:p>
        </w:tc>
        <w:tc>
          <w:tcPr>
            <w:tcW w:w="95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微软雅黑" w:eastAsia="微软雅黑" w:hAnsi="微软雅黑" w:cs="宋体"/>
                <w:i/>
                <w:iCs/>
                <w:color w:val="000000"/>
                <w:kern w:val="0"/>
                <w:sz w:val="16"/>
                <w:szCs w:val="16"/>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微软雅黑" w:eastAsia="微软雅黑" w:hAnsi="微软雅黑" w:cs="宋体"/>
                <w:i/>
                <w:iCs/>
                <w:color w:val="000000"/>
                <w:kern w:val="0"/>
                <w:sz w:val="16"/>
                <w:szCs w:val="16"/>
              </w:rPr>
            </w:pP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897"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simhei" w:hAnsi="simhei" w:cs="宋体"/>
                <w:i/>
                <w:iCs/>
                <w:color w:val="000000"/>
                <w:kern w:val="0"/>
                <w:sz w:val="18"/>
                <w:szCs w:val="18"/>
              </w:rPr>
            </w:pPr>
          </w:p>
        </w:tc>
      </w:tr>
      <w:tr w:rsidR="00B82DB9" w:rsidRPr="00B82DB9" w:rsidTr="00B82DB9">
        <w:trPr>
          <w:trHeight w:val="452"/>
        </w:trPr>
        <w:tc>
          <w:tcPr>
            <w:tcW w:w="2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绩效指标（90分）</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一级指标</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二级指标</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三级指标</w:t>
            </w:r>
          </w:p>
        </w:tc>
        <w:tc>
          <w:tcPr>
            <w:tcW w:w="1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指标性质</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指标值</w:t>
            </w:r>
          </w:p>
        </w:tc>
        <w:tc>
          <w:tcPr>
            <w:tcW w:w="1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度量单位</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完成值</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权重</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得分</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未完成原因分析</w:t>
            </w:r>
          </w:p>
        </w:tc>
      </w:tr>
      <w:tr w:rsidR="00B82DB9" w:rsidRPr="00B82DB9" w:rsidTr="00B82DB9">
        <w:trPr>
          <w:trHeight w:val="339"/>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产出指标</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数量指标</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购买设备</w:t>
            </w:r>
          </w:p>
        </w:tc>
        <w:tc>
          <w:tcPr>
            <w:tcW w:w="1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1</w:t>
            </w:r>
          </w:p>
        </w:tc>
        <w:tc>
          <w:tcPr>
            <w:tcW w:w="1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台</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微软雅黑" w:eastAsia="微软雅黑" w:hAnsi="微软雅黑" w:cs="宋体"/>
                <w:color w:val="000000"/>
                <w:kern w:val="0"/>
                <w:sz w:val="16"/>
                <w:szCs w:val="16"/>
              </w:rPr>
            </w:pPr>
            <w:r w:rsidRPr="00B82DB9">
              <w:rPr>
                <w:rFonts w:ascii="微软雅黑" w:eastAsia="微软雅黑" w:hAnsi="微软雅黑" w:cs="宋体" w:hint="eastAsia"/>
                <w:color w:val="000000"/>
                <w:kern w:val="0"/>
                <w:sz w:val="16"/>
                <w:szCs w:val="16"/>
              </w:rPr>
              <w:t>1</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60</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60</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微软雅黑" w:eastAsia="微软雅黑" w:hAnsi="微软雅黑" w:cs="宋体"/>
                <w:i/>
                <w:iCs/>
                <w:color w:val="000000"/>
                <w:kern w:val="0"/>
                <w:sz w:val="16"/>
                <w:szCs w:val="16"/>
              </w:rPr>
            </w:pPr>
          </w:p>
        </w:tc>
      </w:tr>
      <w:tr w:rsidR="00B82DB9" w:rsidRPr="00B82DB9" w:rsidTr="00B82DB9">
        <w:trPr>
          <w:trHeight w:val="339"/>
        </w:trPr>
        <w:tc>
          <w:tcPr>
            <w:tcW w:w="242" w:type="pct"/>
            <w:vMerge/>
            <w:tcBorders>
              <w:top w:val="single" w:sz="4" w:space="0" w:color="000000"/>
              <w:left w:val="single" w:sz="4" w:space="0" w:color="000000"/>
              <w:bottom w:val="single" w:sz="4" w:space="0" w:color="000000"/>
              <w:right w:val="single" w:sz="4" w:space="0" w:color="000000"/>
            </w:tcBorders>
            <w:vAlign w:val="center"/>
            <w:hideMark/>
          </w:tcPr>
          <w:p w:rsidR="00B82DB9" w:rsidRPr="00B82DB9" w:rsidRDefault="00B82DB9" w:rsidP="00B82DB9">
            <w:pPr>
              <w:widowControl/>
              <w:jc w:val="left"/>
              <w:rPr>
                <w:rFonts w:ascii="宋体" w:hAnsi="宋体" w:cs="宋体"/>
                <w:color w:val="000000"/>
                <w:kern w:val="0"/>
                <w:sz w:val="18"/>
                <w:szCs w:val="18"/>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效益指标</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可持续发展指标</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使用年限</w:t>
            </w:r>
          </w:p>
        </w:tc>
        <w:tc>
          <w:tcPr>
            <w:tcW w:w="1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w:t>
            </w:r>
          </w:p>
        </w:tc>
        <w:tc>
          <w:tcPr>
            <w:tcW w:w="5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5</w:t>
            </w:r>
          </w:p>
        </w:tc>
        <w:tc>
          <w:tcPr>
            <w:tcW w:w="1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年</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微软雅黑" w:eastAsia="微软雅黑" w:hAnsi="微软雅黑" w:cs="宋体"/>
                <w:color w:val="000000"/>
                <w:kern w:val="0"/>
                <w:sz w:val="16"/>
                <w:szCs w:val="16"/>
              </w:rPr>
            </w:pPr>
            <w:r w:rsidRPr="00B82DB9">
              <w:rPr>
                <w:rFonts w:ascii="微软雅黑" w:eastAsia="微软雅黑" w:hAnsi="微软雅黑" w:cs="宋体" w:hint="eastAsia"/>
                <w:color w:val="000000"/>
                <w:kern w:val="0"/>
                <w:sz w:val="16"/>
                <w:szCs w:val="16"/>
              </w:rPr>
              <w:t>5</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30</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30</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微软雅黑" w:eastAsia="微软雅黑" w:hAnsi="微软雅黑" w:cs="宋体"/>
                <w:i/>
                <w:iCs/>
                <w:color w:val="000000"/>
                <w:kern w:val="0"/>
                <w:sz w:val="16"/>
                <w:szCs w:val="16"/>
              </w:rPr>
            </w:pPr>
          </w:p>
        </w:tc>
      </w:tr>
      <w:tr w:rsidR="00B82DB9" w:rsidRPr="00B82DB9" w:rsidTr="00B82DB9">
        <w:trPr>
          <w:trHeight w:val="286"/>
        </w:trPr>
        <w:tc>
          <w:tcPr>
            <w:tcW w:w="3720" w:type="pct"/>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合计</w:t>
            </w:r>
          </w:p>
        </w:tc>
        <w:tc>
          <w:tcPr>
            <w:tcW w:w="1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100</w:t>
            </w: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right"/>
              <w:rPr>
                <w:rFonts w:ascii="宋体" w:hAnsi="宋体" w:cs="宋体"/>
                <w:color w:val="000000"/>
                <w:kern w:val="0"/>
                <w:sz w:val="18"/>
                <w:szCs w:val="18"/>
              </w:rPr>
            </w:pPr>
            <w:r w:rsidRPr="00B82DB9">
              <w:rPr>
                <w:rFonts w:ascii="宋体" w:hAnsi="宋体" w:cs="宋体" w:hint="eastAsia"/>
                <w:color w:val="000000"/>
                <w:kern w:val="0"/>
                <w:sz w:val="18"/>
                <w:szCs w:val="18"/>
              </w:rPr>
              <w:t>100</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宋体" w:hAnsi="宋体" w:cs="宋体"/>
                <w:color w:val="000000"/>
                <w:kern w:val="0"/>
                <w:sz w:val="18"/>
                <w:szCs w:val="18"/>
              </w:rPr>
            </w:pPr>
          </w:p>
        </w:tc>
      </w:tr>
      <w:tr w:rsidR="00B82DB9" w:rsidRPr="00B82DB9" w:rsidTr="00B82DB9">
        <w:trPr>
          <w:trHeight w:val="603"/>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评价结论</w:t>
            </w:r>
          </w:p>
        </w:tc>
        <w:tc>
          <w:tcPr>
            <w:tcW w:w="4758"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微软雅黑" w:eastAsia="微软雅黑" w:hAnsi="微软雅黑" w:cs="宋体"/>
                <w:color w:val="000000"/>
                <w:kern w:val="0"/>
                <w:sz w:val="16"/>
                <w:szCs w:val="16"/>
              </w:rPr>
            </w:pPr>
            <w:r w:rsidRPr="00B82DB9">
              <w:rPr>
                <w:rFonts w:ascii="微软雅黑" w:eastAsia="微软雅黑" w:hAnsi="微软雅黑" w:cs="宋体" w:hint="eastAsia"/>
                <w:color w:val="000000"/>
                <w:kern w:val="0"/>
                <w:sz w:val="16"/>
                <w:szCs w:val="16"/>
              </w:rPr>
              <w:t>该项目绩效目标完成良好。</w:t>
            </w:r>
          </w:p>
        </w:tc>
      </w:tr>
      <w:tr w:rsidR="00B82DB9" w:rsidRPr="00B82DB9" w:rsidTr="00B82DB9">
        <w:trPr>
          <w:trHeight w:val="572"/>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存在问题</w:t>
            </w:r>
          </w:p>
        </w:tc>
        <w:tc>
          <w:tcPr>
            <w:tcW w:w="4758"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微软雅黑" w:eastAsia="微软雅黑" w:hAnsi="微软雅黑" w:cs="宋体"/>
                <w:color w:val="000000"/>
                <w:kern w:val="0"/>
                <w:sz w:val="16"/>
                <w:szCs w:val="16"/>
              </w:rPr>
            </w:pPr>
            <w:r w:rsidRPr="00B82DB9">
              <w:rPr>
                <w:rFonts w:ascii="微软雅黑" w:eastAsia="微软雅黑" w:hAnsi="微软雅黑" w:cs="宋体" w:hint="eastAsia"/>
                <w:color w:val="000000"/>
                <w:kern w:val="0"/>
                <w:sz w:val="16"/>
                <w:szCs w:val="16"/>
              </w:rPr>
              <w:t>无</w:t>
            </w:r>
          </w:p>
        </w:tc>
      </w:tr>
      <w:tr w:rsidR="00B82DB9" w:rsidRPr="00B82DB9" w:rsidTr="00B82DB9">
        <w:trPr>
          <w:trHeight w:val="633"/>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center"/>
              <w:rPr>
                <w:rFonts w:ascii="宋体" w:hAnsi="宋体" w:cs="宋体"/>
                <w:color w:val="000000"/>
                <w:kern w:val="0"/>
                <w:sz w:val="18"/>
                <w:szCs w:val="18"/>
              </w:rPr>
            </w:pPr>
            <w:r w:rsidRPr="00B82DB9">
              <w:rPr>
                <w:rFonts w:ascii="宋体" w:hAnsi="宋体" w:cs="宋体" w:hint="eastAsia"/>
                <w:color w:val="000000"/>
                <w:kern w:val="0"/>
                <w:sz w:val="18"/>
                <w:szCs w:val="18"/>
              </w:rPr>
              <w:t>改进措施</w:t>
            </w:r>
          </w:p>
        </w:tc>
        <w:tc>
          <w:tcPr>
            <w:tcW w:w="4758" w:type="pct"/>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微软雅黑" w:eastAsia="微软雅黑" w:hAnsi="微软雅黑" w:cs="宋体"/>
                <w:color w:val="000000"/>
                <w:kern w:val="0"/>
                <w:sz w:val="16"/>
                <w:szCs w:val="16"/>
              </w:rPr>
            </w:pPr>
            <w:r w:rsidRPr="00B82DB9">
              <w:rPr>
                <w:rFonts w:ascii="微软雅黑" w:eastAsia="微软雅黑" w:hAnsi="微软雅黑" w:cs="宋体" w:hint="eastAsia"/>
                <w:color w:val="000000"/>
                <w:kern w:val="0"/>
                <w:sz w:val="16"/>
                <w:szCs w:val="16"/>
              </w:rPr>
              <w:t>无</w:t>
            </w:r>
          </w:p>
        </w:tc>
      </w:tr>
      <w:tr w:rsidR="00B82DB9" w:rsidRPr="00B82DB9" w:rsidTr="00B82DB9">
        <w:trPr>
          <w:trHeight w:val="286"/>
        </w:trPr>
        <w:tc>
          <w:tcPr>
            <w:tcW w:w="2562"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simhei" w:hAnsi="simhei" w:cs="宋体"/>
                <w:color w:val="000000"/>
                <w:kern w:val="0"/>
                <w:sz w:val="18"/>
                <w:szCs w:val="18"/>
              </w:rPr>
            </w:pPr>
            <w:r w:rsidRPr="00B82DB9">
              <w:rPr>
                <w:rFonts w:ascii="simhei" w:hAnsi="simhei" w:cs="宋体"/>
                <w:color w:val="000000"/>
                <w:kern w:val="0"/>
                <w:sz w:val="18"/>
                <w:szCs w:val="18"/>
              </w:rPr>
              <w:t>项目负责人：</w:t>
            </w:r>
          </w:p>
        </w:tc>
        <w:tc>
          <w:tcPr>
            <w:tcW w:w="2438"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2DB9" w:rsidRPr="00B82DB9" w:rsidRDefault="00B82DB9" w:rsidP="00B82DB9">
            <w:pPr>
              <w:widowControl/>
              <w:jc w:val="left"/>
              <w:rPr>
                <w:rFonts w:ascii="simhei" w:hAnsi="simhei" w:cs="宋体"/>
                <w:color w:val="000000"/>
                <w:kern w:val="0"/>
                <w:sz w:val="18"/>
                <w:szCs w:val="18"/>
              </w:rPr>
            </w:pPr>
            <w:r w:rsidRPr="00B82DB9">
              <w:rPr>
                <w:rFonts w:ascii="simhei" w:hAnsi="simhei" w:cs="宋体"/>
                <w:color w:val="000000"/>
                <w:kern w:val="0"/>
                <w:sz w:val="18"/>
                <w:szCs w:val="18"/>
              </w:rPr>
              <w:t>财务负责人：</w:t>
            </w:r>
          </w:p>
        </w:tc>
      </w:tr>
    </w:tbl>
    <w:p w:rsidR="001767E3" w:rsidRDefault="001767E3">
      <w:pPr>
        <w:pStyle w:val="a0"/>
        <w:spacing w:before="93"/>
        <w:rPr>
          <w:rFonts w:hAnsi="Calibri" w:cs="仿宋"/>
          <w:sz w:val="32"/>
          <w:szCs w:val="32"/>
        </w:rPr>
      </w:pPr>
      <w:bookmarkStart w:id="54" w:name="_GoBack"/>
      <w:bookmarkEnd w:id="54"/>
    </w:p>
    <w:p w:rsidR="001767E3" w:rsidRDefault="00A60EEF">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55" w:name="_Toc15396619"/>
      <w:bookmarkEnd w:id="51"/>
      <w:bookmarkEnd w:id="53"/>
    </w:p>
    <w:p w:rsidR="001767E3" w:rsidRDefault="00A60EEF">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1767E3" w:rsidRDefault="00A60EEF">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1767E3" w:rsidRDefault="00A60EEF">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1767E3" w:rsidRDefault="00A60EEF">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1767E3" w:rsidRDefault="00A60EEF">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1767E3" w:rsidRDefault="00A60EEF">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1767E3" w:rsidRDefault="00A60EEF">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1767E3" w:rsidRDefault="00A60EEF">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1767E3" w:rsidRDefault="00A60EEF">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1767E3" w:rsidRDefault="00A60EEF">
      <w:pPr>
        <w:pStyle w:val="2"/>
        <w:rPr>
          <w:rFonts w:ascii="仿宋" w:eastAsia="仿宋" w:hAnsi="仿宋"/>
        </w:rPr>
      </w:pPr>
      <w:bookmarkStart w:id="64" w:name="_Toc15396628"/>
      <w:r>
        <w:rPr>
          <w:rStyle w:val="2Char"/>
          <w:rFonts w:ascii="仿宋" w:eastAsia="仿宋" w:hAnsi="仿宋" w:hint="eastAsia"/>
        </w:rPr>
        <w:t>十、</w:t>
      </w:r>
      <w:bookmarkEnd w:id="64"/>
      <w:r>
        <w:rPr>
          <w:rFonts w:ascii="仿宋" w:eastAsia="仿宋" w:hAnsi="仿宋" w:hint="eastAsia"/>
          <w:b w:val="0"/>
        </w:rPr>
        <w:t>政</w:t>
      </w:r>
      <w:r>
        <w:rPr>
          <w:rStyle w:val="2Char"/>
          <w:rFonts w:ascii="仿宋" w:eastAsia="仿宋" w:hAnsi="仿宋" w:hint="eastAsia"/>
        </w:rPr>
        <w:t>府性基金预算财政拨款收入支出决算表</w:t>
      </w:r>
    </w:p>
    <w:p w:rsidR="001767E3" w:rsidRDefault="00A60EEF">
      <w:pPr>
        <w:pStyle w:val="2"/>
        <w:rPr>
          <w:rFonts w:ascii="仿宋" w:eastAsia="仿宋" w:hAnsi="仿宋"/>
        </w:rPr>
      </w:pPr>
      <w:bookmarkStart w:id="65" w:name="_Toc15396629"/>
      <w:r>
        <w:rPr>
          <w:rStyle w:val="2Char"/>
          <w:rFonts w:ascii="仿宋" w:eastAsia="仿宋" w:hAnsi="仿宋" w:hint="eastAsia"/>
        </w:rPr>
        <w:t>十一、</w:t>
      </w:r>
      <w:bookmarkEnd w:id="65"/>
      <w:r>
        <w:rPr>
          <w:rFonts w:ascii="仿宋" w:eastAsia="仿宋" w:hAnsi="仿宋" w:hint="eastAsia"/>
          <w:b w:val="0"/>
        </w:rPr>
        <w:t>国</w:t>
      </w:r>
      <w:r>
        <w:rPr>
          <w:rStyle w:val="2Char"/>
          <w:rFonts w:ascii="仿宋" w:eastAsia="仿宋" w:hAnsi="仿宋" w:hint="eastAsia"/>
        </w:rPr>
        <w:t>有资本经营预算财政拨款收入支出决算表</w:t>
      </w:r>
    </w:p>
    <w:p w:rsidR="001767E3" w:rsidRDefault="00A60EEF">
      <w:pPr>
        <w:pStyle w:val="2"/>
        <w:rPr>
          <w:rFonts w:ascii="仿宋" w:eastAsia="仿宋" w:hAnsi="仿宋"/>
        </w:rPr>
      </w:pPr>
      <w:bookmarkStart w:id="66" w:name="_Toc15396630"/>
      <w:r>
        <w:rPr>
          <w:rStyle w:val="2Char"/>
          <w:rFonts w:ascii="仿宋" w:eastAsia="仿宋" w:hAnsi="仿宋" w:hint="eastAsia"/>
        </w:rPr>
        <w:t>十二、</w:t>
      </w:r>
      <w:bookmarkEnd w:id="66"/>
      <w:r>
        <w:rPr>
          <w:rStyle w:val="2Char"/>
          <w:rFonts w:ascii="仿宋" w:eastAsia="仿宋" w:hAnsi="仿宋" w:hint="eastAsia"/>
        </w:rPr>
        <w:t>国有资本经营预算财政拨款支出决算表</w:t>
      </w:r>
    </w:p>
    <w:p w:rsidR="001767E3" w:rsidRDefault="00A60EEF">
      <w:pPr>
        <w:pStyle w:val="2"/>
        <w:rPr>
          <w:rFonts w:eastAsia="仿宋"/>
        </w:rPr>
      </w:pPr>
      <w:bookmarkStart w:id="67" w:name="_Toc15396631"/>
      <w:r>
        <w:rPr>
          <w:rStyle w:val="2Char"/>
          <w:rFonts w:ascii="仿宋" w:eastAsia="仿宋" w:hAnsi="仿宋" w:hint="eastAsia"/>
        </w:rPr>
        <w:t>十三、</w:t>
      </w:r>
      <w:bookmarkEnd w:id="67"/>
      <w:r>
        <w:rPr>
          <w:rStyle w:val="2Char"/>
          <w:rFonts w:ascii="仿宋" w:eastAsia="仿宋" w:hAnsi="仿宋" w:hint="eastAsia"/>
        </w:rPr>
        <w:t>财政拨款“三公”经费支出决算表</w:t>
      </w:r>
    </w:p>
    <w:sectPr w:rsidR="001767E3">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EEF" w:rsidRDefault="00A60EEF">
      <w:r>
        <w:separator/>
      </w:r>
    </w:p>
  </w:endnote>
  <w:endnote w:type="continuationSeparator" w:id="0">
    <w:p w:rsidR="00A60EEF" w:rsidRDefault="00A6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sim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1767E3" w:rsidRDefault="00A60EEF">
        <w:pPr>
          <w:pStyle w:val="a5"/>
          <w:jc w:val="center"/>
        </w:pPr>
        <w:r>
          <w:fldChar w:fldCharType="begin"/>
        </w:r>
        <w:r>
          <w:instrText>PAGE   \* MERGEFORMAT</w:instrText>
        </w:r>
        <w:r>
          <w:fldChar w:fldCharType="separate"/>
        </w:r>
        <w:r w:rsidR="00B82DB9" w:rsidRPr="00B82DB9">
          <w:rPr>
            <w:noProof/>
            <w:lang w:val="zh-CN"/>
          </w:rPr>
          <w:t>2</w:t>
        </w:r>
        <w:r>
          <w:fldChar w:fldCharType="end"/>
        </w:r>
      </w:p>
    </w:sdtContent>
  </w:sdt>
  <w:p w:rsidR="001767E3" w:rsidRDefault="001767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EEF" w:rsidRDefault="00A60EEF">
      <w:r>
        <w:separator/>
      </w:r>
    </w:p>
  </w:footnote>
  <w:footnote w:type="continuationSeparator" w:id="0">
    <w:p w:rsidR="00A60EEF" w:rsidRDefault="00A60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7E3" w:rsidRDefault="001767E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013A4AC4"/>
    <w:multiLevelType w:val="multilevel"/>
    <w:tmpl w:val="013A4AC4"/>
    <w:lvl w:ilvl="0">
      <w:start w:val="5"/>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272550B"/>
    <w:multiLevelType w:val="multilevel"/>
    <w:tmpl w:val="1272550B"/>
    <w:lvl w:ilvl="0">
      <w:start w:val="1"/>
      <w:numFmt w:val="japaneseCounting"/>
      <w:lvlText w:val="%1、"/>
      <w:lvlJc w:val="left"/>
      <w:pPr>
        <w:ind w:left="1287" w:hanging="720"/>
      </w:pPr>
      <w:rPr>
        <w:rFonts w:hint="default"/>
        <w:b w:val="0"/>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nsid w:val="4E8D4018"/>
    <w:multiLevelType w:val="multilevel"/>
    <w:tmpl w:val="4E8D4018"/>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iYzZlYTUwM2UwZmQ1YjY1YTk1NDViNjQzNjhkNWEifQ=="/>
  </w:docVars>
  <w:rsids>
    <w:rsidRoot w:val="00F1361C"/>
    <w:rsid w:val="9E3A10E2"/>
    <w:rsid w:val="F2E1F9D4"/>
    <w:rsid w:val="F7880819"/>
    <w:rsid w:val="000222C6"/>
    <w:rsid w:val="000231D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767E3"/>
    <w:rsid w:val="0018106D"/>
    <w:rsid w:val="001877A7"/>
    <w:rsid w:val="00191536"/>
    <w:rsid w:val="00196687"/>
    <w:rsid w:val="001C0962"/>
    <w:rsid w:val="001D7531"/>
    <w:rsid w:val="001E067C"/>
    <w:rsid w:val="001E737D"/>
    <w:rsid w:val="001F0592"/>
    <w:rsid w:val="001F7506"/>
    <w:rsid w:val="002006CD"/>
    <w:rsid w:val="00202B36"/>
    <w:rsid w:val="00204B7A"/>
    <w:rsid w:val="00204CDE"/>
    <w:rsid w:val="0021101A"/>
    <w:rsid w:val="002160FE"/>
    <w:rsid w:val="00220536"/>
    <w:rsid w:val="00235629"/>
    <w:rsid w:val="00260C38"/>
    <w:rsid w:val="002616C0"/>
    <w:rsid w:val="00265372"/>
    <w:rsid w:val="002662AA"/>
    <w:rsid w:val="00275C47"/>
    <w:rsid w:val="00280496"/>
    <w:rsid w:val="00294DC9"/>
    <w:rsid w:val="00295495"/>
    <w:rsid w:val="002A31DE"/>
    <w:rsid w:val="002B2613"/>
    <w:rsid w:val="002D6D05"/>
    <w:rsid w:val="002D6E57"/>
    <w:rsid w:val="002E13F9"/>
    <w:rsid w:val="002E6DD8"/>
    <w:rsid w:val="002F1818"/>
    <w:rsid w:val="002F567B"/>
    <w:rsid w:val="003216A9"/>
    <w:rsid w:val="00335A74"/>
    <w:rsid w:val="0036561B"/>
    <w:rsid w:val="0037013F"/>
    <w:rsid w:val="00380C92"/>
    <w:rsid w:val="00394AFE"/>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077"/>
    <w:rsid w:val="00471401"/>
    <w:rsid w:val="00473F31"/>
    <w:rsid w:val="0048263A"/>
    <w:rsid w:val="004872D6"/>
    <w:rsid w:val="00487E5D"/>
    <w:rsid w:val="004A711F"/>
    <w:rsid w:val="004B199D"/>
    <w:rsid w:val="004B4690"/>
    <w:rsid w:val="004E0A2D"/>
    <w:rsid w:val="004E206B"/>
    <w:rsid w:val="004E6DF7"/>
    <w:rsid w:val="004F0FBD"/>
    <w:rsid w:val="004F46B8"/>
    <w:rsid w:val="00505A47"/>
    <w:rsid w:val="00512FDA"/>
    <w:rsid w:val="00520DA0"/>
    <w:rsid w:val="005664BB"/>
    <w:rsid w:val="00566FFA"/>
    <w:rsid w:val="0057481D"/>
    <w:rsid w:val="0058486E"/>
    <w:rsid w:val="00585B33"/>
    <w:rsid w:val="00586757"/>
    <w:rsid w:val="0059014D"/>
    <w:rsid w:val="005B5C64"/>
    <w:rsid w:val="005C5337"/>
    <w:rsid w:val="005C6BD0"/>
    <w:rsid w:val="005D1C8B"/>
    <w:rsid w:val="005D468D"/>
    <w:rsid w:val="005D5CED"/>
    <w:rsid w:val="005E346B"/>
    <w:rsid w:val="005F1A4C"/>
    <w:rsid w:val="00605688"/>
    <w:rsid w:val="006070AF"/>
    <w:rsid w:val="00607E6C"/>
    <w:rsid w:val="006101B1"/>
    <w:rsid w:val="00614E44"/>
    <w:rsid w:val="00620C9D"/>
    <w:rsid w:val="0062270A"/>
    <w:rsid w:val="00622830"/>
    <w:rsid w:val="00623DA0"/>
    <w:rsid w:val="00630AEF"/>
    <w:rsid w:val="006325F8"/>
    <w:rsid w:val="00632AA7"/>
    <w:rsid w:val="00633463"/>
    <w:rsid w:val="00634C9A"/>
    <w:rsid w:val="006440E4"/>
    <w:rsid w:val="0066343B"/>
    <w:rsid w:val="00664777"/>
    <w:rsid w:val="006748A4"/>
    <w:rsid w:val="00681A31"/>
    <w:rsid w:val="00683E73"/>
    <w:rsid w:val="006A204B"/>
    <w:rsid w:val="006A3141"/>
    <w:rsid w:val="006A5E34"/>
    <w:rsid w:val="006B2422"/>
    <w:rsid w:val="006B2B9A"/>
    <w:rsid w:val="006C1937"/>
    <w:rsid w:val="006E3060"/>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3345"/>
    <w:rsid w:val="008B768C"/>
    <w:rsid w:val="008C18AE"/>
    <w:rsid w:val="008C4DB1"/>
    <w:rsid w:val="008C4EAF"/>
    <w:rsid w:val="008C5176"/>
    <w:rsid w:val="008C7FD0"/>
    <w:rsid w:val="008E1DE7"/>
    <w:rsid w:val="008E3760"/>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4B2E"/>
    <w:rsid w:val="00A16847"/>
    <w:rsid w:val="00A237D8"/>
    <w:rsid w:val="00A268C4"/>
    <w:rsid w:val="00A307CD"/>
    <w:rsid w:val="00A331C8"/>
    <w:rsid w:val="00A40A00"/>
    <w:rsid w:val="00A4142F"/>
    <w:rsid w:val="00A422EB"/>
    <w:rsid w:val="00A42D4D"/>
    <w:rsid w:val="00A45BB7"/>
    <w:rsid w:val="00A56DF2"/>
    <w:rsid w:val="00A56E6E"/>
    <w:rsid w:val="00A60EEF"/>
    <w:rsid w:val="00A665F3"/>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359"/>
    <w:rsid w:val="00B53C56"/>
    <w:rsid w:val="00B5493C"/>
    <w:rsid w:val="00B57DAF"/>
    <w:rsid w:val="00B77EA6"/>
    <w:rsid w:val="00B81598"/>
    <w:rsid w:val="00B82DB9"/>
    <w:rsid w:val="00B841F1"/>
    <w:rsid w:val="00B944D6"/>
    <w:rsid w:val="00BB4B49"/>
    <w:rsid w:val="00BB4DF0"/>
    <w:rsid w:val="00BB59B7"/>
    <w:rsid w:val="00BC289F"/>
    <w:rsid w:val="00BC2D50"/>
    <w:rsid w:val="00BC48D8"/>
    <w:rsid w:val="00BC5361"/>
    <w:rsid w:val="00BC5460"/>
    <w:rsid w:val="00BC6B50"/>
    <w:rsid w:val="00BD0E25"/>
    <w:rsid w:val="00BF5BD6"/>
    <w:rsid w:val="00C03E31"/>
    <w:rsid w:val="00C33E72"/>
    <w:rsid w:val="00C354B2"/>
    <w:rsid w:val="00C35554"/>
    <w:rsid w:val="00C42709"/>
    <w:rsid w:val="00C533CC"/>
    <w:rsid w:val="00C5751C"/>
    <w:rsid w:val="00C60BED"/>
    <w:rsid w:val="00C61BFC"/>
    <w:rsid w:val="00C62B85"/>
    <w:rsid w:val="00C65438"/>
    <w:rsid w:val="00C87FD8"/>
    <w:rsid w:val="00C91381"/>
    <w:rsid w:val="00C91CBB"/>
    <w:rsid w:val="00CB4E70"/>
    <w:rsid w:val="00CC09B6"/>
    <w:rsid w:val="00CC666F"/>
    <w:rsid w:val="00CD1E3F"/>
    <w:rsid w:val="00CE44F6"/>
    <w:rsid w:val="00CE49DA"/>
    <w:rsid w:val="00CE72B3"/>
    <w:rsid w:val="00CE7B61"/>
    <w:rsid w:val="00D00095"/>
    <w:rsid w:val="00D114F0"/>
    <w:rsid w:val="00D20620"/>
    <w:rsid w:val="00D254F7"/>
    <w:rsid w:val="00D26091"/>
    <w:rsid w:val="00D2685C"/>
    <w:rsid w:val="00D34E7C"/>
    <w:rsid w:val="00D35467"/>
    <w:rsid w:val="00D35489"/>
    <w:rsid w:val="00D36AFE"/>
    <w:rsid w:val="00D51276"/>
    <w:rsid w:val="00D7035F"/>
    <w:rsid w:val="00D8596E"/>
    <w:rsid w:val="00D87F8C"/>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341D7"/>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1644D"/>
    <w:rsid w:val="00F20617"/>
    <w:rsid w:val="00F2408F"/>
    <w:rsid w:val="00F240E9"/>
    <w:rsid w:val="00F36D8F"/>
    <w:rsid w:val="00F417B1"/>
    <w:rsid w:val="00F45853"/>
    <w:rsid w:val="00F602DF"/>
    <w:rsid w:val="00F754A1"/>
    <w:rsid w:val="00F81B41"/>
    <w:rsid w:val="00F81FD9"/>
    <w:rsid w:val="00F841AA"/>
    <w:rsid w:val="00F84A94"/>
    <w:rsid w:val="00F87E96"/>
    <w:rsid w:val="00FA23E8"/>
    <w:rsid w:val="00FB739D"/>
    <w:rsid w:val="00FD3CC1"/>
    <w:rsid w:val="00FF1E02"/>
    <w:rsid w:val="00FF30B4"/>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5B3B68B4"/>
    <w:rsid w:val="64CA39A1"/>
    <w:rsid w:val="69630ADE"/>
    <w:rsid w:val="6C4A05C8"/>
    <w:rsid w:val="6D3B1A89"/>
    <w:rsid w:val="71BF4EC2"/>
    <w:rsid w:val="72734D90"/>
    <w:rsid w:val="73ED5DA0"/>
    <w:rsid w:val="7412278C"/>
    <w:rsid w:val="779F3EFE"/>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21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图1：收、支决算总计变动情况图</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565.52</c:v>
                </c:pt>
                <c:pt idx="1">
                  <c:v>493.13</c:v>
                </c:pt>
              </c:numCache>
            </c:numRef>
          </c:val>
        </c:ser>
        <c:dLbls>
          <c:showLegendKey val="0"/>
          <c:showVal val="0"/>
          <c:showCatName val="0"/>
          <c:showSerName val="0"/>
          <c:showPercent val="0"/>
          <c:showBubbleSize val="0"/>
        </c:dLbls>
        <c:gapWidth val="150"/>
        <c:overlap val="100"/>
        <c:axId val="241935104"/>
        <c:axId val="241936640"/>
      </c:barChart>
      <c:catAx>
        <c:axId val="24193510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1936640"/>
        <c:crosses val="autoZero"/>
        <c:auto val="1"/>
        <c:lblAlgn val="ctr"/>
        <c:lblOffset val="100"/>
        <c:noMultiLvlLbl val="0"/>
      </c:catAx>
      <c:valAx>
        <c:axId val="2419366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1935104"/>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收入合计</c:v>
                </c:pt>
              </c:strCache>
            </c:strRef>
          </c:tx>
          <c:dPt>
            <c:idx val="0"/>
            <c:bubble3D val="0"/>
          </c:dPt>
          <c:dLbls>
            <c:dLbl>
              <c:idx val="0"/>
              <c:layout>
                <c:manualLayout>
                  <c:x val="1.5685970288196701E-3"/>
                  <c:y val="-0.29684763088824401"/>
                </c:manualLayout>
              </c:layout>
              <c:tx>
                <c:rich>
                  <a:bodyPr/>
                  <a:lstStyle/>
                  <a:p>
                    <a:r>
                      <a:rPr lang="zh-CN" altLang="en-US" sz="1000" b="0" i="0" u="none" strike="noStrike" baseline="0">
                        <a:effectLst/>
                      </a:rPr>
                      <a:t>一般公共预算财政拨款收入</a:t>
                    </a:r>
                    <a:r>
                      <a:rPr lang="en-US" altLang="zh-CN"/>
                      <a:t>493.13</a:t>
                    </a:r>
                    <a:r>
                      <a:rPr lang="zh-CN" altLang="en-US"/>
                      <a:t>万元</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一般公共预算财政拨款收入</c:v>
                </c:pt>
              </c:strCache>
            </c:strRef>
          </c:cat>
          <c:val>
            <c:numRef>
              <c:f>Sheet1!$B$2</c:f>
              <c:numCache>
                <c:formatCode>General</c:formatCode>
                <c:ptCount val="1"/>
                <c:pt idx="0">
                  <c:v>493.13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358.48</c:v>
                </c:pt>
                <c:pt idx="1">
                  <c:v>134.65</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图1：收、支决算总计变动情况图</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565.52</c:v>
                </c:pt>
                <c:pt idx="1">
                  <c:v>493.13</c:v>
                </c:pt>
              </c:numCache>
            </c:numRef>
          </c:val>
        </c:ser>
        <c:dLbls>
          <c:showLegendKey val="0"/>
          <c:showVal val="0"/>
          <c:showCatName val="0"/>
          <c:showSerName val="0"/>
          <c:showPercent val="0"/>
          <c:showBubbleSize val="0"/>
        </c:dLbls>
        <c:gapWidth val="150"/>
        <c:overlap val="100"/>
        <c:axId val="241158016"/>
        <c:axId val="241159552"/>
      </c:barChart>
      <c:catAx>
        <c:axId val="24115801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1159552"/>
        <c:crosses val="autoZero"/>
        <c:auto val="1"/>
        <c:lblAlgn val="ctr"/>
        <c:lblOffset val="100"/>
        <c:noMultiLvlLbl val="0"/>
      </c:catAx>
      <c:valAx>
        <c:axId val="241159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1158016"/>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图1：收、支决算总计变动情况图</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565.52</c:v>
                </c:pt>
                <c:pt idx="1">
                  <c:v>493.13</c:v>
                </c:pt>
              </c:numCache>
            </c:numRef>
          </c:val>
        </c:ser>
        <c:dLbls>
          <c:showLegendKey val="0"/>
          <c:showVal val="0"/>
          <c:showCatName val="0"/>
          <c:showSerName val="0"/>
          <c:showPercent val="0"/>
          <c:showBubbleSize val="0"/>
        </c:dLbls>
        <c:gapWidth val="150"/>
        <c:overlap val="100"/>
        <c:axId val="241933312"/>
        <c:axId val="258462464"/>
      </c:barChart>
      <c:catAx>
        <c:axId val="24193331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58462464"/>
        <c:crosses val="autoZero"/>
        <c:auto val="1"/>
        <c:lblAlgn val="ctr"/>
        <c:lblOffset val="100"/>
        <c:noMultiLvlLbl val="0"/>
      </c:catAx>
      <c:valAx>
        <c:axId val="2584624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1933312"/>
        <c:crosses val="autoZero"/>
        <c:crossBetween val="between"/>
      </c:valAx>
    </c:plotArea>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106014271151899"/>
          <c:y val="9.85773624091381E-2"/>
          <c:w val="0.38258919469928598"/>
          <c:h val="0.77948078920041497"/>
        </c:manualLayout>
      </c:layout>
      <c:pieChart>
        <c:varyColors val="1"/>
        <c:ser>
          <c:idx val="0"/>
          <c:order val="0"/>
          <c:tx>
            <c:strRef>
              <c:f>Sheet1!$B$1</c:f>
              <c:strCache>
                <c:ptCount val="1"/>
                <c:pt idx="0">
                  <c:v>销售额</c:v>
                </c:pt>
              </c:strCache>
            </c:strRef>
          </c:tx>
          <c:dPt>
            <c:idx val="0"/>
            <c:bubble3D val="0"/>
          </c:dPt>
          <c:dPt>
            <c:idx val="1"/>
            <c:bubble3D val="0"/>
          </c:dPt>
          <c:dPt>
            <c:idx val="2"/>
            <c:bubble3D val="0"/>
          </c:dPt>
          <c:dPt>
            <c:idx val="3"/>
            <c:bubble3D val="0"/>
          </c:dPt>
          <c:dPt>
            <c:idx val="4"/>
            <c:bubble3D val="0"/>
          </c:dPt>
          <c:dLbls>
            <c:dLbl>
              <c:idx val="1"/>
              <c:layout>
                <c:manualLayout>
                  <c:x val="5.8418372770883097E-3"/>
                  <c:y val="9.3976323197070194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2.8664590171906899E-2"/>
                  <c:y val="3.34386805082501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6.1280831143546197E-2"/>
                  <c:y val="1.557632398753889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一般公共服务支出</c:v>
                </c:pt>
                <c:pt idx="1">
                  <c:v>教育支出</c:v>
                </c:pt>
                <c:pt idx="2">
                  <c:v>社会保障和就业支出</c:v>
                </c:pt>
                <c:pt idx="3">
                  <c:v>卫生健康支出</c:v>
                </c:pt>
                <c:pt idx="4">
                  <c:v>住房保障支出</c:v>
                </c:pt>
              </c:strCache>
            </c:strRef>
          </c:cat>
          <c:val>
            <c:numRef>
              <c:f>Sheet1!$B$2:$B$6</c:f>
              <c:numCache>
                <c:formatCode>General</c:formatCode>
                <c:ptCount val="5"/>
                <c:pt idx="0">
                  <c:v>2.4300000000000002</c:v>
                </c:pt>
                <c:pt idx="1">
                  <c:v>377.28</c:v>
                </c:pt>
                <c:pt idx="2">
                  <c:v>76.209999999999994</c:v>
                </c:pt>
                <c:pt idx="3">
                  <c:v>16.32</c:v>
                </c:pt>
                <c:pt idx="4">
                  <c:v>20.89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销售额</c:v>
                </c:pt>
              </c:strCache>
            </c:strRef>
          </c:tx>
          <c:dPt>
            <c:idx val="0"/>
            <c:bubble3D val="0"/>
          </c:dPt>
          <c:dPt>
            <c:idx val="1"/>
            <c:bubble3D val="0"/>
          </c:dPt>
          <c:dPt>
            <c:idx val="2"/>
            <c:bubble3D val="0"/>
          </c:dPt>
          <c:dLbls>
            <c:dLbl>
              <c:idx val="0"/>
              <c:layout>
                <c:manualLayout>
                  <c:x val="0.30520105947507797"/>
                  <c:y val="2.52707581227437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30741539714314597"/>
                  <c:y val="0.246517890585161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因公出国（境）经费</c:v>
                </c:pt>
                <c:pt idx="1">
                  <c:v>公务用车购置及运行维护费</c:v>
                </c:pt>
                <c:pt idx="2">
                  <c:v>公务接待费</c:v>
                </c:pt>
              </c:strCache>
            </c:strRef>
          </c:cat>
          <c:val>
            <c:numRef>
              <c:f>Sheet1!$B$2:$B$4</c:f>
              <c:numCache>
                <c:formatCode>General</c:formatCode>
                <c:ptCount val="3"/>
                <c:pt idx="0">
                  <c:v>0</c:v>
                </c:pt>
                <c:pt idx="1">
                  <c:v>58.93</c:v>
                </c:pt>
                <c:pt idx="2">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lang="zh-CN"/>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440</TotalTime>
  <Pages>16</Pages>
  <Words>774</Words>
  <Characters>4412</Characters>
  <Application>Microsoft Office Word</Application>
  <DocSecurity>0</DocSecurity>
  <Lines>36</Lines>
  <Paragraphs>10</Paragraphs>
  <ScaleCrop>false</ScaleCrop>
  <Company>四川省财政厅</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张雪</cp:lastModifiedBy>
  <cp:revision>55</cp:revision>
  <cp:lastPrinted>2023-07-31T02:35:00Z</cp:lastPrinted>
  <dcterms:created xsi:type="dcterms:W3CDTF">2020-08-05T01:49:00Z</dcterms:created>
  <dcterms:modified xsi:type="dcterms:W3CDTF">2023-09-01T07:36:00Z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9BC09A9A2B674E9B8BBBF917F2642991_13</vt:lpwstr>
  </property>
</Properties>
</file>