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2</w:t>
      </w:r>
    </w:p>
    <w:p>
      <w:pPr>
        <w:pStyle w:val="3"/>
        <w:widowControl w:val="0"/>
        <w:spacing w:before="0" w:beforeAutospacing="0" w:after="0" w:afterAutospacing="0" w:line="800" w:lineRule="exact"/>
        <w:contextualSpacing/>
        <w:jc w:val="center"/>
        <w:rPr>
          <w:rFonts w:hint="eastAsia" w:ascii="方正小标宋_GBK" w:hAnsi="Times New Roman" w:eastAsia="方正小标宋_GBK" w:cs="Times New Roman"/>
          <w:b/>
          <w:bCs/>
          <w:color w:val="000000"/>
          <w:kern w:val="2"/>
          <w:sz w:val="44"/>
          <w:szCs w:val="44"/>
        </w:rPr>
      </w:pPr>
      <w:r>
        <w:rPr>
          <w:rFonts w:hint="eastAsia" w:ascii="方正小标宋_GBK" w:hAnsi="Times New Roman" w:eastAsia="方正小标宋_GBK" w:cs="Times New Roman"/>
          <w:b/>
          <w:bCs/>
          <w:color w:val="000000"/>
          <w:kern w:val="2"/>
          <w:sz w:val="44"/>
          <w:szCs w:val="44"/>
        </w:rPr>
        <w:t>四川省“十四五”县域普通高中发展提升</w:t>
      </w:r>
    </w:p>
    <w:p>
      <w:pPr>
        <w:pStyle w:val="3"/>
        <w:widowControl w:val="0"/>
        <w:spacing w:before="0" w:beforeAutospacing="0" w:after="0" w:afterAutospacing="0" w:line="800" w:lineRule="exact"/>
        <w:contextualSpacing/>
        <w:jc w:val="center"/>
        <w:rPr>
          <w:rFonts w:ascii="方正小标宋_GBK" w:hAnsi="Times New Roman" w:eastAsia="方正小标宋_GBK" w:cs="Times New Roman"/>
          <w:b/>
          <w:bCs/>
          <w:color w:val="000000"/>
          <w:kern w:val="2"/>
          <w:sz w:val="44"/>
          <w:szCs w:val="44"/>
        </w:rPr>
      </w:pPr>
      <w:r>
        <w:rPr>
          <w:rFonts w:hint="eastAsia" w:ascii="方正小标宋_GBK" w:hAnsi="Times New Roman" w:eastAsia="方正小标宋_GBK" w:cs="Times New Roman"/>
          <w:b/>
          <w:bCs/>
          <w:color w:val="000000"/>
          <w:kern w:val="2"/>
          <w:sz w:val="44"/>
          <w:szCs w:val="44"/>
        </w:rPr>
        <w:t>行动计划实施方案</w:t>
      </w:r>
    </w:p>
    <w:p>
      <w:pPr>
        <w:pStyle w:val="3"/>
        <w:spacing w:before="0" w:beforeAutospacing="0" w:after="0" w:afterAutospacing="0" w:line="700" w:lineRule="exact"/>
        <w:contextualSpacing/>
        <w:jc w:val="center"/>
        <w:rPr>
          <w:rFonts w:ascii="Times New Roman" w:hAnsi="Times New Roman" w:eastAsia="楷体_GB2312" w:cs="Times New Roman"/>
          <w:b/>
          <w:bCs/>
          <w:color w:val="000000"/>
          <w:sz w:val="32"/>
          <w:szCs w:val="32"/>
          <w:lang w:val="en"/>
        </w:rPr>
      </w:pPr>
      <w:r>
        <w:rPr>
          <w:rFonts w:hint="eastAsia" w:ascii="Times New Roman" w:hAnsi="Times New Roman" w:eastAsia="楷体_GB2312" w:cs="Times New Roman"/>
          <w:b/>
          <w:bCs/>
          <w:color w:val="000000"/>
          <w:sz w:val="32"/>
          <w:szCs w:val="32"/>
          <w:lang w:val="en"/>
        </w:rPr>
        <w:t>（</w:t>
      </w:r>
      <w:r>
        <w:rPr>
          <w:rFonts w:ascii="Times New Roman" w:hAnsi="Times New Roman" w:eastAsia="楷体_GB2312" w:cs="Times New Roman"/>
          <w:b/>
          <w:bCs/>
          <w:color w:val="000000"/>
          <w:sz w:val="32"/>
          <w:szCs w:val="32"/>
          <w:lang w:val="en"/>
        </w:rPr>
        <w:t>征求意见稿）</w:t>
      </w:r>
    </w:p>
    <w:p>
      <w:pPr>
        <w:pStyle w:val="7"/>
        <w:spacing w:line="360" w:lineRule="auto"/>
        <w:ind w:firstLine="640" w:firstLineChars="200"/>
        <w:rPr>
          <w:rFonts w:ascii="Times New Roman" w:hAnsi="Times New Roman" w:eastAsia="仿宋_GB2312"/>
          <w:color w:val="000000"/>
          <w:sz w:val="32"/>
          <w:szCs w:val="32"/>
        </w:rPr>
      </w:pP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为深入贯彻党的十九届</w:t>
      </w:r>
      <w:r>
        <w:rPr>
          <w:rFonts w:hint="eastAsia" w:ascii="Times New Roman" w:hAnsi="Times New Roman" w:eastAsia="仿宋_GB2312"/>
          <w:color w:val="000000"/>
          <w:sz w:val="32"/>
          <w:szCs w:val="32"/>
          <w:lang w:eastAsia="zh-CN"/>
        </w:rPr>
        <w:t>历次</w:t>
      </w:r>
      <w:r>
        <w:rPr>
          <w:rFonts w:hint="eastAsia" w:ascii="Times New Roman" w:hAnsi="Times New Roman" w:eastAsia="仿宋_GB2312"/>
          <w:color w:val="000000"/>
          <w:sz w:val="32"/>
          <w:szCs w:val="32"/>
        </w:rPr>
        <w:t>全会和</w:t>
      </w:r>
      <w:r>
        <w:rPr>
          <w:rFonts w:hint="eastAsia" w:ascii="Times New Roman" w:hAnsi="Times New Roman" w:eastAsia="仿宋_GB2312"/>
          <w:color w:val="000000"/>
          <w:sz w:val="32"/>
          <w:szCs w:val="32"/>
          <w:lang w:eastAsia="zh-CN"/>
        </w:rPr>
        <w:t>省第十二次党代会</w:t>
      </w:r>
      <w:r>
        <w:rPr>
          <w:rFonts w:hint="eastAsia" w:ascii="Times New Roman" w:hAnsi="Times New Roman" w:eastAsia="仿宋_GB2312"/>
          <w:color w:val="000000"/>
          <w:sz w:val="32"/>
          <w:szCs w:val="32"/>
        </w:rPr>
        <w:t>精神，落实国家《“十四五”县域普通高中发展提升行动计划》，整体提升全省</w:t>
      </w:r>
      <w:r>
        <w:rPr>
          <w:rFonts w:hint="eastAsia" w:ascii="Times New Roman" w:hAnsi="Times New Roman" w:eastAsia="仿宋_GB2312"/>
          <w:color w:val="000000"/>
          <w:sz w:val="32"/>
          <w:szCs w:val="32"/>
          <w:lang w:eastAsia="zh-CN"/>
        </w:rPr>
        <w:t>县域普通高中（县、县级市举办的普通高中，以下简称县中）</w:t>
      </w:r>
      <w:r>
        <w:rPr>
          <w:rFonts w:hint="eastAsia" w:ascii="Times New Roman" w:hAnsi="Times New Roman" w:eastAsia="仿宋_GB2312"/>
          <w:color w:val="000000"/>
          <w:sz w:val="32"/>
          <w:szCs w:val="32"/>
        </w:rPr>
        <w:t>办学水平，更好适应普通高中育人方式改革和高考综合改革，办好人民满意的教育，结合我省实际，特制定本实施方案。</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一、总体要求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习近平新时代中国特色社会主义思想为指导，全面贯彻党的教育方针，健全县中发展提升保障机制，积极服务国家乡村振兴和人才发展战略，按照“坚持源头治理、强化政府责任、促进协调发展、深化教学改革”的基本原则，立足省情，强化治理责任，注重统筹协调，加大保障力度，深化教学改革，补齐发展短板，进一步激发县中办学活力，着力推进县中育人方式改革，全面提高县中教育质量，促进县中与城区普通高中协调发展，加快缩小教育差距，推动基础教育更加公平更高质量发展，为建设教育强省奠定坚实基础。</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二、主要目标</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到2025年，全省县中整体办学水平显著提升，市域内县中和城区普通高中、普通高中教育和中等职业教育统筹协调发展，推动全省高中阶段教育毛入学率达到95%。公民办普通高中招生管理全面规范，县中生源流失现象得到根本扭转；教师补充培训激励机制基本健全，县中党组织书记、校长和教师队伍建设明显加强；教育经费投入机制基本健全，县中办学经费得到切实保障；薄弱县中办学条件明显改善，学校建设基本实现标准化；育人方式改革全面深化，县中省级示范性校占比明显增加，县中教育质量显著提高。</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三、工作措施</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（一）全面规范普通高中招生管理。</w:t>
      </w:r>
      <w:r>
        <w:rPr>
          <w:rFonts w:hint="eastAsia" w:ascii="Times New Roman" w:hAnsi="Times New Roman" w:eastAsia="仿宋_GB2312"/>
          <w:color w:val="000000"/>
          <w:sz w:val="32"/>
          <w:szCs w:val="32"/>
        </w:rPr>
        <w:t>坚决落实招生管理省级统筹责任、市（州）主体责任、县级落实责任，全面落实公民办同步招生和属地招生政策。各市（州）要全面建立市级高中阶段学校统一招生录取网络平台，切实加强招生计划</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录取过程和招生录取信息</w:t>
      </w:r>
      <w:r>
        <w:rPr>
          <w:rFonts w:hint="eastAsia"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rPr>
        <w:t>管理监督，所有学生必须通过平台录取。严禁跨市（州）“掐尖”招生、提前招生、超计划招生、争抢生源。加大对违规招生行为的查处力度，对查实的“掐尖”行为和跨区域招生问题突出的地方和学校严厉问责，切实防止生源无序流失。继续完善和实施优质普通高中指标到校不低于50%的招生办法，规范特殊类型招生，促进县中多样化有特色发展。严格落实和规范学籍管理要求，加大人籍分离、空挂学籍、批量转学等治理力度。引导普通高中切实转变质量观，杜绝片面追求升学率，通过育人方式变革，变“抢好生源”为“教好学生”。高校招生有关专项计划继续对基础教育薄弱地区予以支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000000"/>
          <w:sz w:val="32"/>
          <w:szCs w:val="32"/>
          <w:lang w:val="en"/>
        </w:rPr>
      </w:pPr>
      <w:r>
        <w:rPr>
          <w:rFonts w:hint="eastAsia" w:ascii="楷体_GB2312" w:hAnsi="Times New Roman" w:eastAsia="楷体_GB2312"/>
          <w:color w:val="000000"/>
          <w:sz w:val="32"/>
          <w:szCs w:val="32"/>
        </w:rPr>
        <w:t>（二）全面加强县中教师队伍建设。</w:t>
      </w:r>
      <w:r>
        <w:rPr>
          <w:rFonts w:hint="eastAsia" w:ascii="Times New Roman" w:hAnsi="Times New Roman" w:eastAsia="仿宋_GB2312"/>
          <w:color w:val="000000"/>
          <w:sz w:val="32"/>
          <w:szCs w:val="32"/>
        </w:rPr>
        <w:t>努力建设一支数量充足、结构合理、素质优良、相对稳定的县中教师队伍。</w:t>
      </w:r>
      <w:r>
        <w:rPr>
          <w:rFonts w:hint="eastAsia" w:ascii="Times New Roman" w:hAnsi="Times New Roman" w:eastAsia="仿宋_GB2312"/>
          <w:color w:val="000000"/>
          <w:sz w:val="32"/>
          <w:szCs w:val="32"/>
          <w:lang w:eastAsia="zh-CN"/>
        </w:rPr>
        <w:t>健全县中教师</w:t>
      </w:r>
      <w:r>
        <w:rPr>
          <w:rFonts w:hint="eastAsia" w:ascii="Times New Roman" w:hAnsi="Times New Roman" w:eastAsia="仿宋_GB2312"/>
          <w:color w:val="000000"/>
          <w:sz w:val="32"/>
          <w:szCs w:val="32"/>
        </w:rPr>
        <w:t>补充稳定机制，严格落实中央关于中小学教职工编制标准和统筹管理的相关规定，依照标准条件及时补充，各县中在</w:t>
      </w:r>
      <w:r>
        <w:rPr>
          <w:rFonts w:hint="eastAsia" w:ascii="Times New Roman" w:hAnsi="Times New Roman" w:eastAsia="仿宋_GB2312"/>
          <w:color w:val="000000"/>
          <w:sz w:val="32"/>
          <w:szCs w:val="32"/>
          <w:lang w:val="en"/>
        </w:rPr>
        <w:t>2023年前，全面</w:t>
      </w:r>
      <w:r>
        <w:rPr>
          <w:rFonts w:hint="eastAsia" w:ascii="Times New Roman" w:hAnsi="Times New Roman" w:eastAsia="仿宋_GB2312"/>
          <w:color w:val="000000"/>
          <w:sz w:val="32"/>
          <w:szCs w:val="32"/>
        </w:rPr>
        <w:t>达到师生比1：12.5的国家规定标准，全面解决总量不足和结构性缺员问题。</w:t>
      </w:r>
      <w:r>
        <w:rPr>
          <w:rFonts w:hint="eastAsia" w:ascii="Times New Roman" w:hAnsi="Times New Roman" w:eastAsia="仿宋_GB2312"/>
          <w:color w:val="000000"/>
          <w:sz w:val="32"/>
          <w:szCs w:val="32"/>
          <w:u w:val="none"/>
          <w:lang w:eastAsia="zh-CN"/>
        </w:rPr>
        <w:t>各部门</w:t>
      </w:r>
      <w:r>
        <w:rPr>
          <w:rFonts w:hint="eastAsia" w:ascii="Times New Roman" w:hAnsi="Times New Roman" w:eastAsia="仿宋_GB2312"/>
          <w:color w:val="000000"/>
          <w:sz w:val="32"/>
          <w:szCs w:val="32"/>
        </w:rPr>
        <w:t>不得挤占县中教职工编制或长期借用县中教师，严禁公办学校教师在民办学校任教，并于2022年秋季开学前完成整改。丰富县中教师选聘渠道，加大实施我省“优师专项计划”力度，认真落实中西部欠发达地区优秀教师定向培养计划，省属优秀</w:t>
      </w:r>
      <w:r>
        <w:rPr>
          <w:rFonts w:hint="eastAsia" w:ascii="Times New Roman" w:hAnsi="Times New Roman" w:eastAsia="仿宋_GB2312"/>
          <w:color w:val="000000"/>
          <w:sz w:val="32"/>
          <w:szCs w:val="32"/>
          <w:lang w:eastAsia="zh-CN"/>
        </w:rPr>
        <w:t>公</w:t>
      </w:r>
      <w:r>
        <w:rPr>
          <w:rFonts w:hint="eastAsia" w:ascii="Times New Roman" w:hAnsi="Times New Roman" w:eastAsia="仿宋_GB2312"/>
          <w:color w:val="000000"/>
          <w:sz w:val="32"/>
          <w:szCs w:val="32"/>
        </w:rPr>
        <w:t>费师范生就业向薄弱县中倾斜，市（州）、县（市、区）可制定相关政策鼓励部属公费师范生等优秀毕业生到县中任教。针对结构性缺员问题，采取公开招聘、校际流动、购买服务、“银龄讲学计划”等途径补足配齐。规范县中教师流动管理，严格按照国家、省有关规定和程序办理教师流动手续，严禁发达地区、城区学校到县中抢挖优秀校长和教师，对未经组织人事部门和教育主管部门同意，恶意从县中学校抢挖人才的，责令纠正，并给予停止学校评优评先资格、通报批评等处理。实施“县中教师学历提升计划”，提高硕士研究生占比。中高级教师岗位设置适当向县中倾斜，合理核定县中绩效工资总额，绩效工资内部分配向优秀人才倾斜。鼓励市、县建立教师社会优待制度，保障县中教师在健康体检、公共交通、旅游等社会公共服务方面享受优待，将</w:t>
      </w:r>
      <w:r>
        <w:rPr>
          <w:rFonts w:hint="eastAsia" w:ascii="Times New Roman" w:hAnsi="Times New Roman" w:eastAsia="仿宋_GB2312"/>
          <w:color w:val="000000"/>
          <w:sz w:val="32"/>
          <w:szCs w:val="32"/>
          <w:lang w:eastAsia="zh-CN"/>
        </w:rPr>
        <w:t>符合条件的</w:t>
      </w:r>
      <w:r>
        <w:rPr>
          <w:rFonts w:hint="eastAsia" w:ascii="Times New Roman" w:hAnsi="Times New Roman" w:eastAsia="仿宋_GB2312"/>
          <w:color w:val="000000"/>
          <w:sz w:val="32"/>
          <w:szCs w:val="32"/>
        </w:rPr>
        <w:t>县中教师纳入保障</w:t>
      </w:r>
      <w:r>
        <w:rPr>
          <w:rFonts w:hint="eastAsia" w:ascii="Times New Roman" w:hAnsi="Times New Roman" w:eastAsia="仿宋_GB2312"/>
          <w:color w:val="000000"/>
          <w:sz w:val="32"/>
          <w:szCs w:val="32"/>
          <w:lang w:eastAsia="zh-CN"/>
        </w:rPr>
        <w:t>性住房政策范围</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建立健全</w:t>
      </w:r>
      <w:r>
        <w:rPr>
          <w:rFonts w:hint="eastAsia" w:ascii="Times New Roman" w:hAnsi="Times New Roman" w:eastAsia="仿宋_GB2312"/>
          <w:color w:val="000000"/>
          <w:sz w:val="32"/>
          <w:szCs w:val="32"/>
        </w:rPr>
        <w:t>县中教师</w:t>
      </w:r>
      <w:r>
        <w:rPr>
          <w:rFonts w:hint="eastAsia" w:ascii="Times New Roman" w:hAnsi="Times New Roman" w:eastAsia="仿宋_GB2312"/>
          <w:color w:val="000000"/>
          <w:sz w:val="32"/>
          <w:szCs w:val="32"/>
          <w:lang w:eastAsia="zh-CN"/>
        </w:rPr>
        <w:t>准入查询违法犯罪信息制度，</w:t>
      </w:r>
      <w:r>
        <w:rPr>
          <w:rFonts w:hint="eastAsia" w:ascii="Times New Roman" w:hAnsi="Times New Roman" w:eastAsia="仿宋_GB2312"/>
          <w:color w:val="000000"/>
          <w:sz w:val="32"/>
          <w:szCs w:val="32"/>
        </w:rPr>
        <w:t>探索建立县中教师从教三十年荣誉制度。</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（三）全面提升县中教师教育素养。</w:t>
      </w:r>
      <w:r>
        <w:rPr>
          <w:rFonts w:hint="eastAsia" w:ascii="Times New Roman" w:hAnsi="Times New Roman" w:eastAsia="仿宋_GB2312"/>
          <w:color w:val="000000"/>
          <w:sz w:val="32"/>
          <w:szCs w:val="32"/>
        </w:rPr>
        <w:t>加强师德师风师能建设，切实增强县中教师教书育人的使命感和责任感。健全教师培训体系建设，完善国、省、市、县、校五级培训模式，组织优秀县中校长和骨干教师参加教育部示范培训，积极开展省级县中校长和教师全员培训，</w:t>
      </w:r>
      <w:r>
        <w:rPr>
          <w:rFonts w:hint="eastAsia" w:ascii="Times New Roman" w:hAnsi="Times New Roman" w:eastAsia="仿宋_GB2312"/>
          <w:color w:val="000000"/>
          <w:sz w:val="32"/>
          <w:szCs w:val="32"/>
          <w:lang w:val="en"/>
        </w:rPr>
        <w:t>构建完善市、县级培训和校本研修体系。将</w:t>
      </w:r>
      <w:r>
        <w:rPr>
          <w:rFonts w:hint="eastAsia" w:ascii="Times New Roman" w:hAnsi="Times New Roman" w:eastAsia="仿宋_GB2312"/>
          <w:color w:val="000000"/>
          <w:sz w:val="32"/>
          <w:szCs w:val="32"/>
        </w:rPr>
        <w:t>普通高中新课程新教材实施和高考综合改革重点任务以及新方法新技术应用作为培训重要内容，注重加强政策解读和案例教学，大力实施优秀教学成果推广应用计划，不断提高校长办学治校能力和教师教育教学水平。</w:t>
      </w:r>
      <w:r>
        <w:rPr>
          <w:rFonts w:hint="eastAsia" w:ascii="Times New Roman" w:hAnsi="Times New Roman" w:eastAsia="仿宋_GB2312"/>
          <w:color w:val="000000"/>
          <w:sz w:val="32"/>
          <w:szCs w:val="32"/>
          <w:lang w:val="en"/>
        </w:rPr>
        <w:t>丰富培训形式，</w:t>
      </w:r>
      <w:r>
        <w:rPr>
          <w:rFonts w:hint="eastAsia" w:ascii="Times New Roman" w:hAnsi="Times New Roman" w:eastAsia="仿宋_GB2312"/>
          <w:color w:val="000000"/>
          <w:sz w:val="32"/>
          <w:szCs w:val="32"/>
        </w:rPr>
        <w:t>各级教研部门要配齐普通高中各学科专职教研员，发挥教科研机构、名师“鼎兴”工作室的引领作用，建立定期视导制度，开展联合教研、“送培到县”“送培到校”等活动，以研促教。各县中要同步实施“青蓝工程”“学习成长共同体”等青年教师校本培养方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Times New Roman" w:hAnsi="Times New Roman" w:eastAsia="仿宋_GB2312"/>
          <w:color w:val="000000"/>
          <w:sz w:val="32"/>
          <w:szCs w:val="32"/>
        </w:rPr>
      </w:pPr>
      <w:r>
        <w:rPr>
          <w:rFonts w:hint="eastAsia" w:ascii="楷体_GB2312" w:hAnsi="Times New Roman" w:eastAsia="楷体_GB2312"/>
          <w:color w:val="000000"/>
          <w:sz w:val="32"/>
          <w:szCs w:val="32"/>
        </w:rPr>
        <w:t>（四）实施县中托管帮扶工程。</w:t>
      </w:r>
      <w:r>
        <w:rPr>
          <w:rFonts w:hint="eastAsia" w:ascii="Times New Roman" w:hAnsi="Times New Roman" w:eastAsia="仿宋_GB2312"/>
          <w:color w:val="000000"/>
          <w:sz w:val="32"/>
          <w:szCs w:val="32"/>
        </w:rPr>
        <w:t>落实《中共中央组织部等关于印发〈国家乡村振兴重点帮扶县教育人才“组团式”帮扶工作方案〉的通知》（组通字〔2022〕17 号）和中共四川省委人才工作领导小组办公室《四川省“组团式”帮扶乡村振兴重点帮扶县高中阶段学校实施方案》有关要求，抓好教育人才“组团式”帮扶，帮助引领乡村振兴重点帮扶县县中转变教育理念、更新教学手段、提升办学质量，实现教育质量整体提升。积极争取教育部县中托管帮扶计划的支持。教育厅加强统筹，组织有条件的省属师范院校和经济发达地区优质学校开展多种形式的县中托管帮扶，重点组织托管帮扶100所薄弱高中。充分发挥托管高校在县中校长选配、教师招聘、师资培训和教学管理等方面的重要作用，地方政府应给予积极支持和相应保障。托管高校要坚持教育公益性原则，不得收取“品牌费”，地方政府可给予托管高校一定管理费，用于托管工作有关支出。省属师范院校各托管帮扶２所薄弱县中。成都、绵阳、德阳、泸州、宜宾的城区未承担国家和省“组团式”帮扶任务的省一级示范性普通高中至少托管帮扶1所市域外薄弱县中，其他市（州）城区未承担国家和省“组团式”帮扶任务的一级示范性普通高中至少托管帮扶本县或本市域内１所薄弱县中，采取集团化办学、办学共同体、挂职锻炼、跟岗培训等方式对口支援。按照国家、省有关规定，对在托管帮扶工作中表现突出的学校、团队和个人给予表彰奖励。</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Style w:val="6"/>
          <w:rFonts w:ascii="Times New Roman" w:hAnsi="Times New Roman" w:eastAsia="仿宋_GB2312"/>
          <w:b w:val="0"/>
          <w:bCs w:val="0"/>
          <w:color w:val="000000"/>
          <w:sz w:val="32"/>
          <w:szCs w:val="32"/>
        </w:rPr>
      </w:pPr>
      <w:r>
        <w:rPr>
          <w:rFonts w:hint="eastAsia" w:ascii="楷体_GB2312" w:hAnsi="Times New Roman" w:eastAsia="楷体_GB2312"/>
          <w:color w:val="000000"/>
          <w:sz w:val="32"/>
          <w:szCs w:val="32"/>
        </w:rPr>
        <w:t>（五）实施县中标准化建设工程。</w:t>
      </w:r>
      <w:r>
        <w:rPr>
          <w:rFonts w:hint="eastAsia" w:ascii="仿宋_GB2312" w:hAnsi="仿宋_GB2312" w:eastAsia="仿宋_GB2312" w:cs="仿宋_GB2312"/>
          <w:color w:val="000000"/>
          <w:sz w:val="32"/>
          <w:szCs w:val="32"/>
          <w:lang w:eastAsia="zh-CN"/>
        </w:rPr>
        <w:t>省上单列安排地方政府一般债券资金，支持各地优化普通高中布局、扩容提质加快发展。</w:t>
      </w:r>
      <w:r>
        <w:rPr>
          <w:rFonts w:hint="eastAsia" w:ascii="Times New Roman" w:hAnsi="Times New Roman" w:eastAsia="仿宋_GB2312"/>
          <w:color w:val="000000"/>
          <w:sz w:val="32"/>
          <w:szCs w:val="32"/>
        </w:rPr>
        <w:t>继续实施改善普通高中学校办学条件项目，重点支持改善县中基本办学条件，积极推进县中标准化建设。市、县要切实发挥主体作用，按照国家和省相关标准，针对条件薄弱学校坚持“一校一案”制订本地县中标准化建设工程</w:t>
      </w:r>
      <w:r>
        <w:rPr>
          <w:rFonts w:hint="eastAsia" w:ascii="Times New Roman" w:hAnsi="Times New Roman" w:eastAsia="仿宋_GB2312"/>
          <w:color w:val="000000"/>
          <w:sz w:val="32"/>
          <w:szCs w:val="32"/>
          <w:u w:val="none"/>
          <w:lang w:eastAsia="zh-CN"/>
        </w:rPr>
        <w:t>实施方案</w:t>
      </w:r>
      <w:r>
        <w:rPr>
          <w:rFonts w:hint="eastAsia" w:ascii="Times New Roman" w:hAnsi="Times New Roman" w:eastAsia="仿宋_GB2312"/>
          <w:color w:val="000000"/>
          <w:sz w:val="32"/>
          <w:szCs w:val="32"/>
        </w:rPr>
        <w:t>，明确时间表、路线图、责任书，切实加大地方财政投入，</w:t>
      </w:r>
      <w:r>
        <w:rPr>
          <w:rFonts w:hint="eastAsia" w:ascii="Times New Roman" w:hAnsi="Times New Roman" w:eastAsia="仿宋_GB2312"/>
          <w:color w:val="000000"/>
          <w:sz w:val="32"/>
          <w:szCs w:val="32"/>
          <w:lang w:eastAsia="zh-CN"/>
        </w:rPr>
        <w:t>省、市两级加大对经济发展水平落后县（市）的经费支持力度，</w:t>
      </w:r>
      <w:r>
        <w:rPr>
          <w:rFonts w:hint="eastAsia" w:ascii="Times New Roman" w:hAnsi="Times New Roman" w:eastAsia="仿宋_GB2312"/>
          <w:color w:val="000000"/>
          <w:sz w:val="32"/>
          <w:szCs w:val="32"/>
        </w:rPr>
        <w:t>确保如期完成县中标准化建设。合理保障县中建设用地，加强县中学科教室、创新实验室、</w:t>
      </w:r>
      <w:r>
        <w:rPr>
          <w:rFonts w:hint="eastAsia" w:ascii="Times New Roman" w:hAnsi="Times New Roman" w:eastAsia="仿宋_GB2312"/>
          <w:color w:val="000000"/>
          <w:sz w:val="32"/>
          <w:szCs w:val="32"/>
          <w:lang w:eastAsia="zh-CN"/>
        </w:rPr>
        <w:t>心理辅导室、</w:t>
      </w:r>
      <w:r>
        <w:rPr>
          <w:rFonts w:hint="eastAsia" w:ascii="Times New Roman" w:hAnsi="Times New Roman" w:eastAsia="仿宋_GB2312"/>
          <w:color w:val="000000"/>
          <w:sz w:val="32"/>
          <w:szCs w:val="32"/>
        </w:rPr>
        <w:t>实验设备与信息化教学条件建设，加强学校文化建设，改善学校食宿卫生运动安全等生活条件，确保顺利推进高考综合改革和普通高中育人方式改革。原则上常住人口5万人以上或初中毕业生2000人以上的县，应建设1所普通高中。要严格学校建设经费管理，严禁超标建设豪华学校。到2023年底，全面消除56人及以上大班额。各地要结合实际制订大规模学校压减实施方案，积极稳妥化解大规模学校，到2025年全面消除5000人以上普通高中校点。优化县中布局调整，严禁随意撤并县中，防止出现新的大规模学校。保持县中适度规模，普通高中新入学年级班额不得超过55人，新建学校规模不得超过3000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Times New Roman" w:eastAsia="楷体_GB2312"/>
          <w:color w:val="000000"/>
          <w:sz w:val="32"/>
          <w:szCs w:val="32"/>
        </w:rPr>
        <w:t>（六）实施县中信息化水平提升工程。</w:t>
      </w:r>
      <w:r>
        <w:rPr>
          <w:rFonts w:hint="eastAsia" w:ascii="Times New Roman" w:hAnsi="Times New Roman" w:eastAsia="仿宋_GB2312"/>
          <w:color w:val="000000"/>
          <w:sz w:val="32"/>
          <w:szCs w:val="32"/>
        </w:rPr>
        <w:t>扎实推进县中智慧校园和数字校园建设。坚持“深化应用，融合创新”的基本思想，</w:t>
      </w:r>
      <w:r>
        <w:rPr>
          <w:rFonts w:hint="eastAsia" w:ascii="Times New Roman" w:hAnsi="Times New Roman" w:eastAsia="仿宋_GB2312"/>
          <w:color w:val="000000"/>
          <w:sz w:val="32"/>
          <w:szCs w:val="32"/>
          <w:lang w:eastAsia="zh-CN"/>
        </w:rPr>
        <w:t>按照“区域统筹建设、学校按需使用”的原则，</w:t>
      </w:r>
      <w:r>
        <w:rPr>
          <w:rFonts w:hint="eastAsia" w:ascii="Times New Roman" w:hAnsi="Times New Roman" w:eastAsia="仿宋_GB2312"/>
          <w:color w:val="000000"/>
          <w:sz w:val="32"/>
          <w:szCs w:val="32"/>
        </w:rPr>
        <w:t>落实《四川省中小学教育信息化运用与环境建设指南》要求，实现县中互联网全覆盖、网络教学环境全覆盖。充分发挥信息技术的优势，促进信息技术与教育教学的深度融合，推动信息技术在德智体美劳等方面全方位运用。充分发挥优质教育资源辐射作用,优化四川省教育资源公共服务平台与国家中小学智慧教育平台、市县平台互联互通机制，实现县中班级“优质资源班班通”。统筹利用好现有资源成果，充分考虑普通高中学生学习特点，遵循线上学习规律，系统化体系化建设课程教学资源，加快提升县中教育信息化水平。</w:t>
      </w:r>
      <w:r>
        <w:rPr>
          <w:rFonts w:hint="eastAsia" w:ascii="Times New Roman" w:hAnsi="Times New Roman" w:eastAsia="仿宋_GB2312"/>
          <w:color w:val="000000"/>
          <w:sz w:val="32"/>
          <w:szCs w:val="32"/>
          <w:lang w:eastAsia="zh-CN"/>
        </w:rPr>
        <w:t>在巩固和完善校园安防建设“</w:t>
      </w:r>
      <w:r>
        <w:rPr>
          <w:rFonts w:hint="eastAsia" w:ascii="Times New Roman" w:hAnsi="Times New Roman" w:eastAsia="仿宋_GB2312"/>
          <w:color w:val="000000"/>
          <w:sz w:val="32"/>
          <w:szCs w:val="32"/>
          <w:lang w:val="en-US" w:eastAsia="zh-CN"/>
        </w:rPr>
        <w:t>6个100%</w:t>
      </w:r>
      <w:r>
        <w:rPr>
          <w:rFonts w:hint="eastAsia" w:ascii="Times New Roman" w:hAnsi="Times New Roman" w:eastAsia="仿宋_GB2312"/>
          <w:color w:val="000000"/>
          <w:sz w:val="32"/>
          <w:szCs w:val="32"/>
          <w:lang w:eastAsia="zh-CN"/>
        </w:rPr>
        <w:t>”标准要求的基础上，全面加强安防信息化建设，依托大数据资源精准赋能，提供信息研判支撑，打造智慧校园安防升级版。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（七）着力提高县中教育教学质量。</w:t>
      </w:r>
      <w:r>
        <w:rPr>
          <w:rFonts w:hint="eastAsia" w:ascii="Times New Roman" w:hAnsi="Times New Roman" w:eastAsia="仿宋_GB2312"/>
          <w:color w:val="000000"/>
          <w:sz w:val="32"/>
          <w:szCs w:val="32"/>
        </w:rPr>
        <w:t>深化县中育人方式改革。推进课堂教学改革，积极探索基于情境、问题导向的互动式、启发式、探究式、体验式等课堂教学，构建完善县中拔尖创新人才早期培养机制，提升县中在“强基计划”“英才计划”中培养、推选优秀学生的能力水平。深化县中课程改革，全面实施新课程新教材，完善开齐开足课程、选课走班、综合素质评价和学生发展指导，严格学分认定管理，加强课程实施监管。指导县中因地制宜，充分利用农业农村资源，</w:t>
      </w:r>
      <w:r>
        <w:rPr>
          <w:rFonts w:hint="eastAsia" w:ascii="Times New Roman" w:hAnsi="Times New Roman" w:eastAsia="仿宋_GB2312"/>
          <w:color w:val="000000"/>
          <w:sz w:val="32"/>
          <w:szCs w:val="32"/>
          <w:lang w:eastAsia="zh-CN"/>
        </w:rPr>
        <w:t>建设劳动教育基地和综合实践基地，</w:t>
      </w:r>
      <w:r>
        <w:rPr>
          <w:rFonts w:hint="eastAsia" w:ascii="Times New Roman" w:hAnsi="Times New Roman" w:eastAsia="仿宋_GB2312"/>
          <w:color w:val="000000"/>
          <w:sz w:val="32"/>
          <w:szCs w:val="32"/>
        </w:rPr>
        <w:t>加强劳动教育和综合实践活动。推进</w:t>
      </w:r>
      <w:r>
        <w:rPr>
          <w:rFonts w:hint="eastAsia" w:ascii="Times New Roman" w:hAnsi="Times New Roman" w:eastAsia="仿宋_GB2312"/>
          <w:color w:val="000000"/>
          <w:sz w:val="32"/>
          <w:szCs w:val="32"/>
          <w:lang w:val="en"/>
        </w:rPr>
        <w:t>教育质量评价方式改革，</w:t>
      </w:r>
      <w:r>
        <w:rPr>
          <w:rFonts w:hint="eastAsia" w:ascii="Times New Roman" w:hAnsi="Times New Roman" w:eastAsia="仿宋_GB2312"/>
          <w:color w:val="000000"/>
          <w:sz w:val="32"/>
          <w:szCs w:val="32"/>
        </w:rPr>
        <w:t>建立系统、多元的评价模式，</w:t>
      </w:r>
      <w:r>
        <w:rPr>
          <w:rFonts w:hint="eastAsia" w:ascii="Times New Roman" w:hAnsi="Times New Roman" w:eastAsia="仿宋_GB2312"/>
          <w:color w:val="000000"/>
          <w:sz w:val="32"/>
          <w:szCs w:val="32"/>
          <w:lang w:eastAsia="zh-CN"/>
        </w:rPr>
        <w:t>建立普通高中学生学业质量监测制度并开展常态化监测，</w:t>
      </w:r>
      <w:r>
        <w:rPr>
          <w:rFonts w:hint="eastAsia" w:ascii="Times New Roman" w:hAnsi="Times New Roman" w:eastAsia="仿宋_GB2312"/>
          <w:color w:val="000000"/>
          <w:sz w:val="32"/>
          <w:szCs w:val="32"/>
        </w:rPr>
        <w:t>坚决扭转片面应试教育倾向。探索建立特色办学机制，形成具有鲜明县域特色的普通高中育人模式。省级示范性普通高中遴选适当向县中倾斜。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Times New Roman" w:hAnsi="Times New Roman" w:eastAsia="仿宋_GB2312"/>
          <w:color w:val="000000"/>
          <w:sz w:val="32"/>
          <w:szCs w:val="32"/>
          <w:lang w:val="en" w:eastAsia="zh-CN"/>
        </w:rPr>
      </w:pPr>
      <w:r>
        <w:rPr>
          <w:rFonts w:hint="eastAsia" w:ascii="楷体_GB2312" w:hAnsi="Times New Roman" w:eastAsia="楷体_GB2312"/>
          <w:color w:val="000000"/>
          <w:sz w:val="32"/>
          <w:szCs w:val="32"/>
        </w:rPr>
        <w:t>（八）着力提高县中经费投入水平。</w:t>
      </w:r>
      <w:r>
        <w:rPr>
          <w:rFonts w:hint="eastAsia" w:ascii="Times New Roman" w:hAnsi="Times New Roman" w:eastAsia="仿宋_GB2312"/>
          <w:color w:val="000000"/>
          <w:sz w:val="32"/>
          <w:szCs w:val="32"/>
        </w:rPr>
        <w:t>各市（州）要科学核定县中培养成本，根据经济社会发展水平，建立完善生均公用经费标准和</w:t>
      </w:r>
      <w:r>
        <w:rPr>
          <w:rFonts w:hint="eastAsia" w:ascii="Times New Roman" w:hAnsi="Times New Roman" w:eastAsia="仿宋_GB2312"/>
          <w:color w:val="000000"/>
          <w:sz w:val="32"/>
          <w:szCs w:val="32"/>
          <w:lang w:eastAsia="zh-CN"/>
        </w:rPr>
        <w:t>成本分担机制</w:t>
      </w:r>
      <w:r>
        <w:rPr>
          <w:rFonts w:hint="eastAsia" w:ascii="Times New Roman" w:hAnsi="Times New Roman" w:eastAsia="仿宋_GB2312"/>
          <w:color w:val="000000"/>
          <w:sz w:val="32"/>
          <w:szCs w:val="32"/>
        </w:rPr>
        <w:t>。普通高中生均公用经费拨款标准每生每年1000元</w:t>
      </w:r>
      <w:r>
        <w:rPr>
          <w:rFonts w:hint="eastAsia" w:ascii="Times New Roman" w:hAnsi="Times New Roman" w:eastAsia="仿宋_GB2312"/>
          <w:color w:val="000000"/>
          <w:sz w:val="32"/>
          <w:szCs w:val="32"/>
          <w:lang w:eastAsia="zh-CN"/>
        </w:rPr>
        <w:t>已经达到</w:t>
      </w:r>
      <w:r>
        <w:rPr>
          <w:rFonts w:hint="eastAsia" w:ascii="Times New Roman" w:hAnsi="Times New Roman" w:eastAsia="仿宋_GB2312"/>
          <w:color w:val="000000"/>
          <w:sz w:val="32"/>
          <w:szCs w:val="32"/>
        </w:rPr>
        <w:t>的地方，不得降低标准，有条件的地方可适当提高标准；省、市两级要加大对欠发达县</w:t>
      </w:r>
      <w:r>
        <w:rPr>
          <w:rFonts w:hint="eastAsia" w:ascii="Times New Roman" w:hAnsi="Times New Roman" w:eastAsia="仿宋_GB2312"/>
          <w:color w:val="000000"/>
          <w:sz w:val="32"/>
          <w:szCs w:val="32"/>
          <w:lang w:eastAsia="zh-CN"/>
        </w:rPr>
        <w:t>（市）特别是未达到标准地</w:t>
      </w:r>
      <w:r>
        <w:rPr>
          <w:rFonts w:hint="eastAsia" w:ascii="Times New Roman" w:hAnsi="Times New Roman" w:eastAsia="仿宋_GB2312"/>
          <w:color w:val="000000"/>
          <w:sz w:val="32"/>
          <w:szCs w:val="32"/>
        </w:rPr>
        <w:t>区</w:t>
      </w:r>
      <w:r>
        <w:rPr>
          <w:rFonts w:hint="eastAsia"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rPr>
        <w:t>经费投入，</w:t>
      </w:r>
      <w:r>
        <w:rPr>
          <w:rFonts w:hint="eastAsia" w:ascii="Times New Roman" w:hAnsi="Times New Roman" w:eastAsia="仿宋_GB2312"/>
          <w:color w:val="000000"/>
          <w:sz w:val="32"/>
          <w:szCs w:val="32"/>
          <w:lang w:eastAsia="zh-CN"/>
        </w:rPr>
        <w:t>确保县中生均公用经费按时足额拨付到校。</w:t>
      </w:r>
      <w:r>
        <w:rPr>
          <w:rFonts w:hint="eastAsia" w:ascii="Times New Roman" w:hAnsi="Times New Roman" w:eastAsia="仿宋_GB2312"/>
          <w:color w:val="000000"/>
          <w:sz w:val="32"/>
          <w:szCs w:val="32"/>
          <w:lang w:val="en"/>
        </w:rPr>
        <w:t>要</w:t>
      </w:r>
      <w:r>
        <w:rPr>
          <w:rFonts w:hint="eastAsia" w:ascii="Times New Roman" w:hAnsi="Times New Roman" w:eastAsia="仿宋_GB2312"/>
          <w:color w:val="000000"/>
          <w:sz w:val="32"/>
          <w:szCs w:val="32"/>
          <w:lang w:val="en" w:eastAsia="zh-CN"/>
        </w:rPr>
        <w:t>建立学费标准动态调整机制，按照定价权限及程序适当调整学费标准</w:t>
      </w:r>
      <w:r>
        <w:rPr>
          <w:rFonts w:hint="eastAsia" w:ascii="Times New Roman" w:hAnsi="Times New Roman" w:eastAsia="仿宋_GB2312"/>
          <w:color w:val="000000"/>
          <w:sz w:val="32"/>
          <w:szCs w:val="32"/>
        </w:rPr>
        <w:t>。继续实施好国家助学金和免学杂费政策，</w:t>
      </w:r>
      <w:r>
        <w:rPr>
          <w:rFonts w:hint="eastAsia" w:ascii="Times New Roman" w:hAnsi="Times New Roman" w:eastAsia="仿宋_GB2312"/>
          <w:color w:val="000000"/>
          <w:sz w:val="32"/>
          <w:szCs w:val="32"/>
          <w:lang w:eastAsia="zh-CN"/>
        </w:rPr>
        <w:t>民族自治地区十五年免费教育政策，</w:t>
      </w:r>
      <w:r>
        <w:rPr>
          <w:rFonts w:hint="eastAsia" w:ascii="Times New Roman" w:hAnsi="Times New Roman" w:eastAsia="仿宋_GB2312"/>
          <w:color w:val="000000"/>
          <w:sz w:val="32"/>
          <w:szCs w:val="32"/>
        </w:rPr>
        <w:t>不让学生因家庭经济困难而失学。</w:t>
      </w:r>
      <w:r>
        <w:rPr>
          <w:rFonts w:hint="eastAsia" w:ascii="Times New Roman" w:hAnsi="Times New Roman" w:eastAsia="仿宋_GB2312"/>
          <w:color w:val="000000"/>
          <w:sz w:val="32"/>
          <w:szCs w:val="32"/>
          <w:lang w:eastAsia="zh-CN"/>
        </w:rPr>
        <w:t>有条件的地方，可设立安全、排危等项目专项经费。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、组织领导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（一）加强党的全面领导。</w:t>
      </w:r>
      <w:bookmarkStart w:id="0" w:name="_Hlk95255422"/>
      <w:bookmarkEnd w:id="0"/>
      <w:r>
        <w:rPr>
          <w:rFonts w:hint="eastAsia" w:ascii="Times New Roman" w:hAnsi="Times New Roman" w:eastAsia="仿宋_GB2312"/>
          <w:color w:val="000000"/>
          <w:sz w:val="32"/>
          <w:szCs w:val="32"/>
        </w:rPr>
        <w:t>各市（州）</w:t>
      </w:r>
      <w:r>
        <w:rPr>
          <w:rFonts w:hint="eastAsia"/>
          <w:color w:val="000000"/>
          <w:sz w:val="32"/>
          <w:szCs w:val="32"/>
          <w:lang w:eastAsia="zh-CN"/>
        </w:rPr>
        <w:t>要</w:t>
      </w:r>
      <w:r>
        <w:rPr>
          <w:rFonts w:hint="eastAsia" w:ascii="仿宋_GB2312" w:hAnsi="仿宋_GB2312" w:eastAsia="仿宋_GB2312" w:cs="仿宋_GB2312"/>
          <w:color w:val="000000"/>
          <w:sz w:val="32"/>
          <w:szCs w:val="32"/>
          <w:lang w:eastAsia="zh-CN"/>
        </w:rPr>
        <w:t>坚持和加强党对县域普通高中的全面领导，完善党的建设，切</w:t>
      </w:r>
      <w:r>
        <w:rPr>
          <w:rFonts w:hint="eastAsia" w:ascii="仿宋_GB2312" w:hAnsi="仿宋_GB2312" w:cs="仿宋_GB2312"/>
          <w:color w:val="000000"/>
          <w:sz w:val="32"/>
          <w:szCs w:val="32"/>
          <w:lang w:eastAsia="zh-CN"/>
        </w:rPr>
        <w:t>实</w:t>
      </w:r>
      <w:r>
        <w:rPr>
          <w:rFonts w:hint="eastAsia" w:ascii="仿宋_GB2312" w:hAnsi="仿宋_GB2312" w:eastAsia="仿宋_GB2312" w:cs="仿宋_GB2312"/>
          <w:color w:val="000000"/>
          <w:sz w:val="32"/>
          <w:szCs w:val="32"/>
          <w:lang w:eastAsia="zh-CN"/>
        </w:rPr>
        <w:t>发挥党组织领导作用。推进县中建立党组织领导的校长负责制，选优配强党组织书记和校长，结合实际制定党组织会议和校长办公会议（校务会）会议制度和议事规则</w:t>
      </w:r>
      <w:r>
        <w:rPr>
          <w:rFonts w:hint="eastAsia" w:ascii="仿宋_GB2312" w:hAnsi="仿宋_GB2312" w:cs="仿宋_GB2312"/>
          <w:color w:val="000000"/>
          <w:sz w:val="32"/>
          <w:szCs w:val="32"/>
          <w:lang w:eastAsia="zh-CN"/>
        </w:rPr>
        <w:t>，将学校党组织建设成坚强的战斗堡垒。</w:t>
      </w:r>
      <w:r>
        <w:rPr>
          <w:rFonts w:hint="eastAsia" w:ascii="仿宋_GB2312" w:hAnsi="仿宋_GB2312" w:eastAsia="仿宋_GB2312" w:cs="仿宋_GB2312"/>
          <w:color w:val="000000"/>
          <w:sz w:val="32"/>
          <w:szCs w:val="32"/>
          <w:lang w:eastAsia="zh-CN"/>
        </w:rPr>
        <w:t>加大对县中党建工作的指导和支持，加强党员干部队伍建设，在工作经费、工作场地和待遇确定等方面强化保障力度。市、县两级政府要建立“县中发展定期研究”工作推进机制，把县中发展提升工作作为推进区域教育现代化的重大举措，解决县中发展中的重大问题。市、县两级要切实强化办学主</w:t>
      </w:r>
      <w:r>
        <w:rPr>
          <w:rFonts w:hint="eastAsia" w:ascii="仿宋_GB2312" w:hAnsi="仿宋_GB2312" w:cs="仿宋_GB2312"/>
          <w:color w:val="000000"/>
          <w:sz w:val="32"/>
          <w:szCs w:val="32"/>
          <w:lang w:eastAsia="zh-CN"/>
        </w:rPr>
        <w:t>体</w:t>
      </w:r>
      <w:r>
        <w:rPr>
          <w:rFonts w:hint="eastAsia" w:ascii="仿宋_GB2312" w:hAnsi="仿宋_GB2312" w:eastAsia="仿宋_GB2312" w:cs="仿宋_GB2312"/>
          <w:color w:val="000000"/>
          <w:sz w:val="32"/>
          <w:szCs w:val="32"/>
          <w:lang w:eastAsia="zh-CN"/>
        </w:rPr>
        <w:t>责任，鼓励各地探索建立以市（州）为主的办学管理体制，促进市域普通高中教育整体协调发展。树立科学教育观、正确政绩观，严禁给县中下达升学指标，严禁片面以高考升学率考核评价学校、校长和教师。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_GB2312" w:hAnsi="仿宋_GB2312" w:eastAsia="仿宋_GB2312" w:cs="仿宋_GB2312"/>
          <w:color w:val="000000"/>
          <w:sz w:val="32"/>
          <w:szCs w:val="32"/>
        </w:rPr>
      </w:pPr>
      <w:r>
        <w:rPr>
          <w:rFonts w:hint="eastAsia" w:ascii="楷体_GB2312" w:eastAsia="楷体_GB2312"/>
          <w:color w:val="000000"/>
          <w:sz w:val="32"/>
          <w:szCs w:val="32"/>
        </w:rPr>
        <w:t>（二）加强部门统筹协调。</w:t>
      </w:r>
      <w:r>
        <w:rPr>
          <w:rFonts w:hint="eastAsia" w:ascii="仿宋_GB2312" w:hAnsi="仿宋_GB2312" w:eastAsia="仿宋_GB2312" w:cs="仿宋_GB2312"/>
          <w:color w:val="000000"/>
          <w:sz w:val="32"/>
          <w:szCs w:val="32"/>
        </w:rPr>
        <w:t>教育部门要加强沟通协调，会同相关部门建立分工协作机制，研究完善相关政策措施，推动落实各项任务举措，加强对县中教育教学的指导。发展改革部门要把县中发展纳入县域经济发展相关规划，支持开展</w:t>
      </w:r>
      <w:r>
        <w:rPr>
          <w:rFonts w:hint="eastAsia" w:ascii="仿宋_GB2312" w:hAnsi="仿宋_GB2312" w:eastAsia="仿宋_GB2312" w:cs="仿宋_GB2312"/>
          <w:color w:val="000000"/>
          <w:sz w:val="32"/>
          <w:szCs w:val="32"/>
          <w:lang w:eastAsia="zh-CN"/>
        </w:rPr>
        <w:t>涉藏州</w:t>
      </w:r>
      <w:r>
        <w:rPr>
          <w:rFonts w:hint="eastAsia" w:ascii="仿宋_GB2312" w:hAnsi="仿宋_GB2312" w:eastAsia="仿宋_GB2312" w:cs="仿宋_GB2312"/>
          <w:color w:val="000000"/>
          <w:sz w:val="32"/>
          <w:szCs w:val="32"/>
        </w:rPr>
        <w:t>县普通高中学校建设。公安部门要将校园周边安全纳入社会治理，完善校园安全风险防控体系和依法处理机制，依法惩治“校闹”行为。财政部门要健全普通高中经费投入机制，支持改善办学条件。自然资源部门要坚持节约集约原则，合理保障县中学校建设用地需求。住房和城乡建设等部门要会同教育部门修订完善普通高中学校建设标准，加强对县中的勘察设计、施工、竣工验收、移交等环节的监管落实。人力资源社会保障部门要</w:t>
      </w:r>
      <w:r>
        <w:rPr>
          <w:rFonts w:hint="eastAsia" w:ascii="仿宋_GB2312" w:hAnsi="仿宋_GB2312" w:eastAsia="仿宋_GB2312" w:cs="仿宋_GB2312"/>
          <w:color w:val="000000"/>
          <w:sz w:val="32"/>
          <w:szCs w:val="32"/>
          <w:lang w:eastAsia="zh-CN"/>
        </w:rPr>
        <w:t>结合职能职责，</w:t>
      </w:r>
      <w:r>
        <w:rPr>
          <w:rFonts w:hint="eastAsia" w:ascii="仿宋_GB2312" w:hAnsi="仿宋_GB2312" w:eastAsia="仿宋_GB2312" w:cs="仿宋_GB2312"/>
          <w:color w:val="000000"/>
          <w:sz w:val="32"/>
          <w:szCs w:val="32"/>
        </w:rPr>
        <w:t>按照有关规定完善和落实县中教师补充、教师待遇保障和激励机制等方面的支持。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Times New Roman" w:hAnsi="Times New Roman" w:eastAsia="仿宋_GB2312" w:cs="Times New Roman"/>
          <w:color w:val="000000"/>
          <w:kern w:val="2"/>
          <w:sz w:val="32"/>
          <w:szCs w:val="32"/>
        </w:rPr>
      </w:pPr>
      <w:r>
        <w:rPr>
          <w:rFonts w:hint="eastAsia" w:ascii="楷体_GB2312" w:hAnsi="Times New Roman" w:eastAsia="楷体_GB2312" w:cs="Times New Roman"/>
          <w:color w:val="000000"/>
          <w:kern w:val="2"/>
          <w:sz w:val="32"/>
          <w:szCs w:val="32"/>
        </w:rPr>
        <w:t>（三）加强督导考核评价。</w:t>
      </w:r>
      <w:r>
        <w:rPr>
          <w:rFonts w:hint="eastAsia" w:ascii="Times New Roman" w:hAnsi="Times New Roman" w:eastAsia="仿宋_GB2312" w:cs="Times New Roman"/>
          <w:color w:val="000000"/>
          <w:kern w:val="2"/>
          <w:sz w:val="32"/>
          <w:szCs w:val="32"/>
          <w:lang w:eastAsia="zh-CN"/>
        </w:rPr>
        <w:t>省政府教育督导委员会办公室</w:t>
      </w:r>
      <w:r>
        <w:rPr>
          <w:rFonts w:hint="eastAsia" w:ascii="Times New Roman" w:hAnsi="Times New Roman" w:eastAsia="仿宋_GB2312" w:cs="Times New Roman"/>
          <w:color w:val="000000"/>
          <w:kern w:val="2"/>
          <w:sz w:val="32"/>
          <w:szCs w:val="32"/>
        </w:rPr>
        <w:t>将县中发展和提升情况纳入对市</w:t>
      </w:r>
      <w:r>
        <w:rPr>
          <w:rFonts w:hint="eastAsia" w:ascii="Times New Roman" w:hAnsi="Times New Roman" w:eastAsia="仿宋_GB2312" w:cs="Times New Roman"/>
          <w:color w:val="000000"/>
          <w:kern w:val="2"/>
          <w:sz w:val="32"/>
          <w:szCs w:val="32"/>
          <w:lang w:eastAsia="zh-CN"/>
        </w:rPr>
        <w:t>（州）</w:t>
      </w:r>
      <w:r>
        <w:rPr>
          <w:rFonts w:hint="eastAsia" w:ascii="Times New Roman" w:hAnsi="Times New Roman" w:eastAsia="仿宋_GB2312" w:cs="Times New Roman"/>
          <w:color w:val="000000"/>
          <w:kern w:val="2"/>
          <w:sz w:val="32"/>
          <w:szCs w:val="32"/>
        </w:rPr>
        <w:t>政府履行教育职责</w:t>
      </w:r>
      <w:r>
        <w:rPr>
          <w:rFonts w:hint="eastAsia" w:ascii="Times New Roman" w:hAnsi="Times New Roman" w:eastAsia="仿宋_GB2312" w:cs="Times New Roman"/>
          <w:color w:val="000000"/>
          <w:kern w:val="2"/>
          <w:sz w:val="32"/>
          <w:szCs w:val="32"/>
          <w:lang w:eastAsia="zh-CN"/>
        </w:rPr>
        <w:t>评价内容</w:t>
      </w:r>
      <w:r>
        <w:rPr>
          <w:rFonts w:hint="eastAsia" w:ascii="Times New Roman" w:hAnsi="Times New Roman" w:eastAsia="仿宋_GB2312" w:cs="Times New Roman"/>
          <w:color w:val="000000"/>
          <w:kern w:val="2"/>
          <w:sz w:val="32"/>
          <w:szCs w:val="32"/>
        </w:rPr>
        <w:t>，重点检查普通高中招生管理、县中教师配备、生均公用经费保障、学校标准化建设、化解大班额和大规模学校、办学质量提高等方面情况。</w:t>
      </w:r>
      <w:r>
        <w:rPr>
          <w:rFonts w:hint="eastAsia" w:ascii="Times New Roman" w:hAnsi="Times New Roman" w:eastAsia="仿宋_GB2312" w:cs="Times New Roman"/>
          <w:color w:val="000000"/>
          <w:kern w:val="2"/>
          <w:sz w:val="32"/>
          <w:szCs w:val="32"/>
          <w:lang w:eastAsia="zh-CN"/>
        </w:rPr>
        <w:t>各市（州）要将县中发展和提升情况纳入对县级政府履行教育职责评价内容，并建立县中发展提升情况跟踪督导机制。注重督导评价结果运用，对发现的问题要限期整改，对履职不力的地区和学校强化问责追责。各市（州）要充分考虑县中的实际情况，建立科学完善的质量评价体系，加大“以入量出”的考核占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（四）加强正确舆论导向。</w:t>
      </w:r>
      <w:r>
        <w:rPr>
          <w:rFonts w:hint="eastAsia" w:ascii="仿宋_GB2312" w:hAnsi="仿宋_GB2312" w:eastAsia="仿宋_GB2312" w:cs="仿宋_GB2312"/>
          <w:color w:val="000000"/>
          <w:sz w:val="32"/>
          <w:szCs w:val="32"/>
        </w:rPr>
        <w:t>各地要通过广播电视、报纸以及新兴媒体，广泛宣传党的教育方针，宣传县中发展提升计划的重要意义，树立正确的素质教育观念，引导动员广大群众支持县中发展提升工作。严禁炒作高考升学率和高考状元。要及时总结宣传县中发展提升的典型经验和有益做法，大力营造政府、社会、家庭关心支持县中发展提升的良好氛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pPr>
      <w:r>
        <w:rPr>
          <w:rFonts w:hint="eastAsia" w:ascii="仿宋_GB2312" w:hAnsi="仿宋_GB2312" w:eastAsia="仿宋_GB2312" w:cs="仿宋_GB2312"/>
          <w:color w:val="000000"/>
          <w:sz w:val="32"/>
          <w:szCs w:val="32"/>
        </w:rPr>
        <w:t>各市（州）“十四五”县域普通高中发展提升行动计划</w:t>
      </w:r>
      <w:r>
        <w:rPr>
          <w:rFonts w:hint="eastAsia" w:ascii="仿宋_GB2312" w:hAnsi="仿宋_GB2312" w:eastAsia="仿宋_GB2312" w:cs="仿宋_GB2312"/>
          <w:color w:val="000000"/>
          <w:sz w:val="32"/>
          <w:szCs w:val="32"/>
          <w:lang w:eastAsia="zh-CN"/>
        </w:rPr>
        <w:t>实施方案</w:t>
      </w:r>
      <w:r>
        <w:rPr>
          <w:rFonts w:hint="eastAsia" w:ascii="仿宋_GB2312" w:hAnsi="仿宋_GB2312" w:eastAsia="仿宋_GB2312" w:cs="仿宋_GB2312"/>
          <w:color w:val="000000"/>
          <w:sz w:val="32"/>
          <w:szCs w:val="32"/>
        </w:rPr>
        <w:t>于</w:t>
      </w:r>
      <w:r>
        <w:rPr>
          <w:rFonts w:hint="eastAsia" w:ascii="仿宋_GB2312" w:hAnsi="仿宋_GB2312" w:eastAsia="仿宋_GB2312" w:cs="仿宋_GB2312"/>
          <w:color w:val="000000"/>
          <w:sz w:val="32"/>
          <w:szCs w:val="32"/>
          <w:lang w:val="en"/>
        </w:rPr>
        <w:t>2022年８月底前</w:t>
      </w:r>
      <w:r>
        <w:rPr>
          <w:rFonts w:hint="eastAsia" w:ascii="仿宋_GB2312" w:hAnsi="仿宋_GB2312" w:eastAsia="仿宋_GB2312" w:cs="仿宋_GB2312"/>
          <w:color w:val="000000"/>
          <w:sz w:val="32"/>
          <w:szCs w:val="32"/>
          <w:lang w:val="en" w:eastAsia="zh-CN"/>
        </w:rPr>
        <w:t>报</w:t>
      </w:r>
      <w:r>
        <w:rPr>
          <w:rFonts w:hint="eastAsia" w:ascii="仿宋_GB2312" w:hAnsi="仿宋_GB2312" w:eastAsia="仿宋_GB2312" w:cs="仿宋_GB2312"/>
          <w:color w:val="000000"/>
          <w:sz w:val="32"/>
          <w:szCs w:val="32"/>
          <w:lang w:val="en"/>
        </w:rPr>
        <w:t>教育厅备案。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CFD46-1D60-47A4-BE3E-7562D237F3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5A1CCC-A138-44B2-BE61-6BDCD0F014CD}"/>
  </w:font>
  <w:font w:name="方正小标宋_GBK">
    <w:panose1 w:val="02000000000000000000"/>
    <w:charset w:val="86"/>
    <w:family w:val="script"/>
    <w:pitch w:val="default"/>
    <w:sig w:usb0="A00002BF" w:usb1="38CF7CFA" w:usb2="00082016" w:usb3="00000000" w:csb0="00040001" w:csb1="00000000"/>
    <w:embedRegular r:id="rId3" w:fontKey="{045AF5C6-9833-49E5-BE26-0BC20A4DB9D4}"/>
  </w:font>
  <w:font w:name="楷体_GB2312">
    <w:altName w:val="楷体"/>
    <w:panose1 w:val="02010609030101010101"/>
    <w:charset w:val="86"/>
    <w:family w:val="auto"/>
    <w:pitch w:val="default"/>
    <w:sig w:usb0="00000000" w:usb1="00000000" w:usb2="00000000" w:usb3="00000000" w:csb0="00040000" w:csb1="00000000"/>
    <w:embedRegular r:id="rId4" w:fontKey="{E9D9CFD7-AD8E-44DA-98AC-CE802E70CFA1}"/>
  </w:font>
  <w:font w:name="仿宋_GB2312">
    <w:altName w:val="仿宋"/>
    <w:panose1 w:val="02010609030101010101"/>
    <w:charset w:val="86"/>
    <w:family w:val="modern"/>
    <w:pitch w:val="default"/>
    <w:sig w:usb0="00000000" w:usb1="00000000" w:usb2="00000000" w:usb3="00000000" w:csb0="00040000" w:csb1="00000000"/>
    <w:embedRegular r:id="rId5" w:fontKey="{1DF0BE6B-76D2-48DA-808F-2478AE57CC0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235F1B54"/>
    <w:rsid w:val="235F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bCs/>
    </w:rPr>
  </w:style>
  <w:style w:type="paragraph" w:customStyle="1" w:styleId="7">
    <w:name w:val="列表段落"/>
    <w:basedOn w:val="1"/>
    <w:qFormat/>
    <w:uiPriority w:val="34"/>
    <w:pPr>
      <w:ind w:firstLine="420"/>
    </w:pPr>
    <w:rPr>
      <w:rFonts w:ascii="Calibri" w:hAnsi="Calibri"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2022-06-09T09:21:00Z</dcterms:created>
  <dc:creator>Krub  Vinder </dc:creator>
  <cp:lastModifiedBy>Krub  Vinder </cp:lastModifiedBy>
  <dcterms:modified xsi:type="dcterms:W3CDTF">2022-06-09T09:22:18Z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902726AD60C941CFBDE9CF274E4E6390</vt:lpwstr>
  </property>
</Properties>
</file>