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kinsoku/>
        <w:wordWrap/>
        <w:overflowPunct/>
        <w:topLinePunct w:val="0"/>
        <w:autoSpaceDE/>
        <w:autoSpaceDN/>
        <w:bidi w:val="0"/>
        <w:adjustRightInd/>
        <w:snapToGrid/>
        <w:spacing w:after="0" w:line="700" w:lineRule="exact"/>
        <w:jc w:val="center"/>
        <w:textAlignment w:val="auto"/>
        <w:rPr>
          <w:rFonts w:ascii="Times New Roman" w:eastAsia="方正小标宋_GBK" w:cs="Times New Roman" w:hAnsi="Times New Roman"/>
          <w:b w:val="0"/>
          <w:bCs/>
          <w:sz w:val="44"/>
          <w:szCs w:val="44"/>
          <w:lang w:eastAsia="zh-CN"/>
        </w:rPr>
      </w:pPr>
      <w:r>
        <w:rPr>
          <w:rFonts w:ascii="Times New Roman" w:eastAsia="方正小标宋_GBK" w:cs="Times New Roman" w:hAnsi="Times New Roman"/>
          <w:b w:val="0"/>
          <w:bCs/>
          <w:sz w:val="44"/>
          <w:szCs w:val="44"/>
        </w:rPr>
        <w:t>《四川省本科院校教师职称申报评审基本条件（征求意见稿）》《四川省高等职业院校教师职称申报评审基本条件（征求意见稿）》解读</w:t>
      </w: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Times New Roman" w:eastAsia="方正小标宋_GBK" w:cs="Times New Roman" w:hAnsi="Times New Roman"/>
          <w:b w:val="0"/>
          <w:bCs/>
          <w:sz w:val="40"/>
          <w:szCs w:val="40"/>
          <w:lang w:eastAsia="zh-CN"/>
        </w:rPr>
      </w:pPr>
    </w:p>
    <w:p>
      <w:pPr>
        <w:keepNext w:val="0"/>
        <w:keepLines w:val="0"/>
        <w:pageBreakBefore w:val="0"/>
        <w:widowControl/>
        <w:kinsoku/>
        <w:wordWrap/>
        <w:overflowPunct/>
        <w:topLinePunct w:val="0"/>
        <w:autoSpaceDE/>
        <w:autoSpaceDN/>
        <w:bidi w:val="0"/>
        <w:adjustRightInd/>
        <w:snapToGrid/>
        <w:spacing w:after="0" w:line="600" w:lineRule="exact"/>
        <w:ind w:firstLineChars="200" w:firstLine="640"/>
        <w:jc w:val="both"/>
        <w:textAlignment w:val="auto"/>
        <w:rPr>
          <w:rFonts w:ascii="Times New Roman" w:eastAsia="黑体" w:cs="Times New Roman" w:hAnsi="Times New Roman"/>
          <w:b w:val="0"/>
          <w:bCs/>
          <w:sz w:val="32"/>
          <w:szCs w:val="32"/>
          <w:lang w:eastAsia="zh-CN"/>
        </w:rPr>
      </w:pPr>
      <w:r>
        <w:rPr>
          <w:rFonts w:ascii="Times New Roman" w:eastAsia="黑体" w:cs="Times New Roman" w:hAnsi="Times New Roman"/>
          <w:b w:val="0"/>
          <w:bCs/>
          <w:sz w:val="32"/>
          <w:szCs w:val="32"/>
        </w:rPr>
        <w:t>一、</w:t>
      </w:r>
      <w:r>
        <w:rPr>
          <w:rFonts w:ascii="Times New Roman" w:eastAsia="黑体" w:cs="Times New Roman" w:hAnsi="Times New Roman"/>
          <w:b w:val="0"/>
          <w:bCs/>
          <w:sz w:val="32"/>
          <w:szCs w:val="32"/>
          <w:lang w:eastAsia="zh-CN"/>
        </w:rPr>
        <w:t>政策出台的</w:t>
      </w:r>
      <w:r>
        <w:rPr>
          <w:rFonts w:ascii="Times New Roman" w:eastAsia="黑体" w:cs="Times New Roman" w:hAnsi="Times New Roman"/>
          <w:b w:val="0"/>
          <w:bCs/>
          <w:sz w:val="32"/>
          <w:szCs w:val="32"/>
        </w:rPr>
        <w:t>背景</w:t>
      </w:r>
      <w:r>
        <w:rPr>
          <w:rFonts w:ascii="Times New Roman" w:eastAsia="黑体" w:cs="Times New Roman" w:hAnsi="Times New Roman"/>
          <w:b w:val="0"/>
          <w:bCs/>
          <w:sz w:val="32"/>
          <w:szCs w:val="32"/>
          <w:lang w:eastAsia="zh-CN"/>
        </w:rPr>
        <w:t>、依据</w:t>
      </w:r>
    </w:p>
    <w:p>
      <w:pPr>
        <w:spacing w:after="0" w:line="600" w:lineRule="exact"/>
        <w:ind w:firstLineChars="200" w:firstLine="640"/>
        <w:jc w:val="both"/>
        <w:rPr>
          <w:rFonts w:ascii="仿宋_GB2312" w:eastAsia="仿宋_GB2312"/>
          <w:spacing w:val="-6"/>
          <w:sz w:val="32"/>
          <w:szCs w:val="32"/>
        </w:rPr>
      </w:pPr>
      <w:r>
        <w:rPr>
          <w:rFonts w:ascii="仿宋_GB2312" w:eastAsia="仿宋_GB2312" w:hint="eastAsia"/>
          <w:sz w:val="32"/>
          <w:szCs w:val="32"/>
        </w:rPr>
        <w:t>2020年12月，人力资源社会保障部、教育部印发《关于深化高等学校教师职称制度改革的指导意见》，对高校教师职称制度改革做了部署，明确指出，要遵循高校教师职业特点和发展规律，分类分层，科学评价，充分调动广大高校教师的积极性和创造性，建设一支高素质专业化创新型教师队伍，为高等教育事业发展提供制度保障和人才支持。为大力弘扬教育家精神，激励全省高校教师教书育人，落实立德树人根本任务，我们结合实际起草了普通</w:t>
      </w:r>
      <w:r>
        <w:rPr>
          <w:rFonts w:ascii="仿宋_GB2312" w:eastAsia="仿宋_GB2312" w:hint="eastAsia"/>
          <w:sz w:val="32"/>
          <w:szCs w:val="32"/>
          <w:shd w:val="clear" w:color="auto" w:fill="FFFFFF"/>
        </w:rPr>
        <w:t>本科院校、</w:t>
      </w:r>
      <w:r>
        <w:rPr>
          <w:rFonts w:ascii="仿宋_GB2312" w:eastAsia="仿宋_GB2312" w:hint="eastAsia"/>
          <w:sz w:val="32"/>
          <w:szCs w:val="32"/>
        </w:rPr>
        <w:t>高等职业院校教师职称申报评审基本条件，</w:t>
      </w:r>
      <w:r>
        <w:rPr>
          <w:rFonts w:ascii="仿宋_GB2312" w:eastAsia="仿宋_GB2312" w:hint="eastAsia"/>
          <w:spacing w:val="-6"/>
          <w:sz w:val="32"/>
          <w:szCs w:val="32"/>
        </w:rPr>
        <w:t>进一步完善教师评价机制，推进高校治理体系和治理能力现代化。</w:t>
      </w:r>
      <w:r>
        <w:rPr>
          <w:rFonts w:ascii="仿宋_GB2312" w:eastAsia="仿宋_GB2312"/>
          <w:spacing w:val="-6"/>
          <w:sz w:val="32"/>
          <w:szCs w:val="32"/>
        </w:rPr>
        <w:t xml:space="preserve">  </w:t>
      </w:r>
    </w:p>
    <w:p>
      <w:pPr>
        <w:spacing w:after="0" w:line="600" w:lineRule="exact"/>
        <w:ind w:firstLineChars="200" w:firstLine="640"/>
        <w:jc w:val="both"/>
        <w:rPr>
          <w:rFonts w:ascii="仿宋_GB2312" w:eastAsia="仿宋_GB2312"/>
          <w:spacing w:val="-6"/>
          <w:sz w:val="32"/>
          <w:szCs w:val="32"/>
        </w:rPr>
      </w:pPr>
      <w:r>
        <w:rPr>
          <w:rFonts w:ascii="仿宋_GB2312" w:eastAsia="仿宋_GB2312" w:hint="eastAsia"/>
          <w:sz w:val="32"/>
          <w:szCs w:val="32"/>
        </w:rPr>
        <w:t>《人力资源社会保障部 教育部关于深化高等学校教师职称制度改革的指导意见》（人社部发〔2020〕100号）《中共四川省委 四川省人民政府关于全面深化新时代教师队伍建设改革的实施意见》（川委发〔2018〕22号）等文件强调，职称评审应突出教书育人实绩，把握高校教师成长的规律和工作特点。要完善评价标准，严把思想政治和师德师风考核，将师德表现作为教师职称评审的首要条件，突出教育教学能力和业绩，优化思想政治工作评审，推行代表性成果评价，克服“五唯”等倾向。要创新评价机制，结合学校特点和办学类型，针对不同类型、不同层次教师，实行分类分层评价，采用业绩水平与发展潜力、定性与定量评价相结合的方式。要落实高校职称评审自主权，形成以人才培养为核心，以品德、能力和业绩为导向，评价科学、规范有序、竞争择优的高校教师职称制度。</w:t>
      </w:r>
    </w:p>
    <w:p>
      <w:pPr>
        <w:spacing w:after="0" w:line="600" w:lineRule="exact"/>
        <w:ind w:firstLineChars="200" w:firstLine="640"/>
        <w:jc w:val="both"/>
        <w:rPr>
          <w:rFonts w:ascii="Times New Roman" w:eastAsia="黑体" w:cs="Times New Roman" w:hAnsi="Times New Roman"/>
          <w:b w:val="0"/>
          <w:bCs/>
          <w:sz w:val="32"/>
          <w:szCs w:val="32"/>
          <w:lang w:eastAsia="zh-CN"/>
        </w:rPr>
      </w:pPr>
      <w:r>
        <w:rPr>
          <w:rFonts w:ascii="Times New Roman" w:eastAsia="黑体" w:cs="Times New Roman" w:hAnsi="Times New Roman"/>
          <w:b w:val="0"/>
          <w:bCs/>
          <w:sz w:val="32"/>
          <w:szCs w:val="32"/>
          <w:lang w:eastAsia="zh-CN"/>
        </w:rPr>
        <w:t>二、政策的主要内容解读</w:t>
      </w:r>
    </w:p>
    <w:p>
      <w:pPr>
        <w:spacing w:after="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《基本条件（</w:t>
      </w:r>
      <w:r>
        <w:rPr>
          <w:rFonts w:ascii="仿宋_GB2312" w:eastAsia="仿宋_GB2312"/>
          <w:sz w:val="32"/>
          <w:szCs w:val="32"/>
        </w:rPr>
        <w:t>征求意见</w:t>
      </w:r>
      <w:r>
        <w:rPr>
          <w:rFonts w:ascii="仿宋_GB2312" w:eastAsia="仿宋_GB2312" w:hint="eastAsia"/>
          <w:sz w:val="32"/>
          <w:szCs w:val="32"/>
        </w:rPr>
        <w:t>稿）》包含两个独立的文件：</w:t>
      </w:r>
      <w:r>
        <w:rPr>
          <w:rFonts w:ascii="仿宋_GB2312" w:eastAsia="仿宋_GB2312" w:hint="eastAsia"/>
          <w:sz w:val="32"/>
          <w:szCs w:val="32"/>
          <w:shd w:val="clear" w:color="auto" w:fill="FFFFFF"/>
        </w:rPr>
        <w:t>《四川省本科院校教师职称申报评审基本条件（</w:t>
      </w:r>
      <w:r>
        <w:rPr>
          <w:rFonts w:ascii="仿宋_GB2312" w:eastAsia="仿宋_GB2312"/>
          <w:sz w:val="32"/>
          <w:szCs w:val="32"/>
        </w:rPr>
        <w:t>征求意见</w:t>
      </w:r>
      <w:r>
        <w:rPr>
          <w:rFonts w:ascii="仿宋_GB2312" w:eastAsia="仿宋_GB2312" w:hint="eastAsia"/>
          <w:sz w:val="32"/>
          <w:szCs w:val="32"/>
        </w:rPr>
        <w:t>稿</w:t>
      </w:r>
      <w:r>
        <w:rPr>
          <w:rFonts w:ascii="仿宋_GB2312" w:eastAsia="仿宋_GB2312" w:hint="eastAsia"/>
          <w:sz w:val="32"/>
          <w:szCs w:val="32"/>
          <w:shd w:val="clear" w:color="auto" w:fill="FFFFFF"/>
        </w:rPr>
        <w:t>）》</w:t>
      </w:r>
      <w:r>
        <w:rPr>
          <w:rFonts w:ascii="仿宋_GB2312" w:eastAsia="仿宋_GB2312" w:hint="eastAsia"/>
          <w:sz w:val="32"/>
          <w:szCs w:val="32"/>
        </w:rPr>
        <w:t>《四川省高等职业院校教师职称申报评审基本条件</w:t>
      </w:r>
      <w:r>
        <w:rPr>
          <w:rFonts w:ascii="仿宋_GB2312" w:eastAsia="仿宋_GB2312" w:hint="eastAsia"/>
          <w:sz w:val="32"/>
          <w:szCs w:val="32"/>
          <w:shd w:val="clear" w:color="auto" w:fill="FFFFFF"/>
        </w:rPr>
        <w:t>（</w:t>
      </w:r>
      <w:r>
        <w:rPr>
          <w:rFonts w:ascii="仿宋_GB2312" w:eastAsia="仿宋_GB2312"/>
          <w:sz w:val="32"/>
          <w:szCs w:val="32"/>
        </w:rPr>
        <w:t>征求意见</w:t>
      </w:r>
      <w:r>
        <w:rPr>
          <w:rFonts w:ascii="仿宋_GB2312" w:eastAsia="仿宋_GB2312" w:hint="eastAsia"/>
          <w:sz w:val="32"/>
          <w:szCs w:val="32"/>
        </w:rPr>
        <w:t>稿</w:t>
      </w:r>
      <w:r>
        <w:rPr>
          <w:rFonts w:ascii="仿宋_GB2312" w:eastAsia="仿宋_GB2312" w:hint="eastAsia"/>
          <w:sz w:val="32"/>
          <w:szCs w:val="32"/>
          <w:shd w:val="clear" w:color="auto" w:fill="FFFFFF"/>
        </w:rPr>
        <w:t>）</w:t>
      </w:r>
      <w:r>
        <w:rPr>
          <w:rFonts w:ascii="仿宋_GB2312" w:eastAsia="仿宋_GB2312" w:hint="eastAsia"/>
          <w:sz w:val="32"/>
          <w:szCs w:val="32"/>
        </w:rPr>
        <w:t>》。</w:t>
      </w:r>
    </w:p>
    <w:p>
      <w:pPr>
        <w:spacing w:after="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基本条件》分别包括总则、基本要求、助教、讲师、副教授、教授、答辩、附则等八章共二十七条。其中总则、基本要求两章对职称层级设置、适用范围、思想政治和师德师风、教师资格、企业实践及继续教育等作了基本规定和要求。助教、讲师、副教授、教授等四章明确了职称评审的学历学位、资历、专业能力与业绩成果等条件要求。答辩、附则两章对答辩要求、绿色通道、成果时限及署名等作了说明，给予高校职称评审自主权，各高校根据本单位事业发展和人才队伍建设需要制定职称评审具体条件。</w:t>
      </w:r>
    </w:p>
    <w:p>
      <w:pPr>
        <w:spacing w:after="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shd w:val="clear" w:color="auto" w:fill="FFFFFF"/>
        </w:rPr>
        <w:t>四川省本科院校教师职称申报评审基本条件（</w:t>
      </w:r>
      <w:r>
        <w:rPr>
          <w:rFonts w:ascii="仿宋_GB2312" w:eastAsia="仿宋_GB2312"/>
          <w:sz w:val="32"/>
          <w:szCs w:val="32"/>
        </w:rPr>
        <w:t>征求意见</w:t>
      </w:r>
      <w:r>
        <w:rPr>
          <w:rFonts w:ascii="仿宋_GB2312" w:eastAsia="仿宋_GB2312" w:hint="eastAsia"/>
          <w:sz w:val="32"/>
          <w:szCs w:val="32"/>
        </w:rPr>
        <w:t>稿</w:t>
      </w:r>
      <w:r>
        <w:rPr>
          <w:rFonts w:ascii="仿宋_GB2312" w:eastAsia="仿宋_GB2312" w:hint="eastAsia"/>
          <w:sz w:val="32"/>
          <w:szCs w:val="32"/>
          <w:shd w:val="clear" w:color="auto" w:fill="FFFFFF"/>
        </w:rPr>
        <w:t>）》中，</w:t>
      </w:r>
      <w:r>
        <w:rPr>
          <w:rFonts w:ascii="仿宋_GB2312" w:eastAsia="仿宋_GB2312" w:hint="eastAsia"/>
          <w:sz w:val="32"/>
          <w:szCs w:val="32"/>
        </w:rPr>
        <w:t>根据岗位特点</w:t>
      </w:r>
      <w:r>
        <w:rPr>
          <w:rFonts w:ascii="仿宋_GB2312" w:eastAsia="仿宋_GB2312" w:hint="eastAsia"/>
          <w:sz w:val="32"/>
          <w:szCs w:val="32"/>
          <w:shd w:val="clear" w:color="auto" w:fill="FFFFFF"/>
        </w:rPr>
        <w:t>将高级职称</w:t>
      </w:r>
      <w:r>
        <w:rPr>
          <w:rFonts w:ascii="仿宋_GB2312" w:eastAsia="仿宋_GB2312" w:hint="eastAsia"/>
          <w:sz w:val="32"/>
          <w:szCs w:val="32"/>
        </w:rPr>
        <w:t>设置为教学科研型和教学为主型两种类型。突出教书育人实绩，注重对履责绩效、创新成果、</w:t>
      </w:r>
      <w:r>
        <w:rPr>
          <w:rFonts w:ascii="仿宋_GB2312" w:eastAsia="仿宋_GB2312" w:hint="eastAsia"/>
          <w:spacing w:val="-6"/>
          <w:sz w:val="32"/>
          <w:szCs w:val="32"/>
        </w:rPr>
        <w:t>人才培养实际贡献的评价。注重代表性成果的质量、贡献、影响，突出评价成果质量、原创价值和对社会发展的实际贡献以及支撑人才培养情况，注重建立有利于教师潜心教学、研究和创新的评价制度。《四川省高等职业院校教师职称申报评审基本条件</w:t>
      </w:r>
      <w:r>
        <w:rPr>
          <w:rFonts w:ascii="仿宋_GB2312" w:eastAsia="仿宋_GB2312" w:hint="eastAsia"/>
          <w:spacing w:val="-6"/>
          <w:sz w:val="32"/>
          <w:szCs w:val="32"/>
          <w:shd w:val="clear" w:color="auto" w:fill="FFFFFF"/>
        </w:rPr>
        <w:t>（</w:t>
      </w:r>
      <w:r>
        <w:rPr>
          <w:rFonts w:ascii="仿宋_GB2312" w:eastAsia="仿宋_GB2312"/>
          <w:sz w:val="32"/>
          <w:szCs w:val="32"/>
        </w:rPr>
        <w:t>征求意见</w:t>
      </w:r>
      <w:r>
        <w:rPr>
          <w:rFonts w:ascii="仿宋_GB2312" w:eastAsia="仿宋_GB2312" w:hint="eastAsia"/>
          <w:sz w:val="32"/>
          <w:szCs w:val="32"/>
        </w:rPr>
        <w:t>稿</w:t>
      </w:r>
      <w:bookmarkStart w:id="0" w:name="_GoBack"/>
      <w:bookmarkEnd w:id="0"/>
      <w:r>
        <w:rPr>
          <w:rFonts w:ascii="仿宋_GB2312" w:eastAsia="仿宋_GB2312" w:hint="eastAsia"/>
          <w:spacing w:val="-6"/>
          <w:sz w:val="32"/>
          <w:szCs w:val="32"/>
          <w:shd w:val="clear" w:color="auto" w:fill="FFFFFF"/>
        </w:rPr>
        <w:t>）</w:t>
      </w:r>
      <w:r>
        <w:rPr>
          <w:rFonts w:ascii="仿宋_GB2312" w:eastAsia="仿宋_GB2312" w:hint="eastAsia"/>
          <w:spacing w:val="-6"/>
          <w:sz w:val="32"/>
          <w:szCs w:val="32"/>
        </w:rPr>
        <w:t>》中，结合加强专业课“双师型”教师队伍建设，强化技术技能要求，引导教师关注行业发展，强调工学结合、校企合作，要求职业院校教师具有扎实的专业知识能力和较强的实践操作能力。</w:t>
      </w:r>
    </w:p>
    <w:p>
      <w:pPr>
        <w:keepNext w:val="0"/>
        <w:keepLines w:val="0"/>
        <w:pageBreakBefore w:val="0"/>
        <w:widowControl/>
        <w:kinsoku/>
        <w:wordWrap/>
        <w:overflowPunct/>
        <w:topLinePunct w:val="0"/>
        <w:autoSpaceDE/>
        <w:autoSpaceDN/>
        <w:adjustRightInd/>
        <w:snapToGrid/>
        <w:spacing w:after="0" w:line="600" w:lineRule="exact"/>
        <w:ind w:firstLineChars="200" w:firstLine="640"/>
        <w:jc w:val="both"/>
        <w:rPr>
          <w:rFonts w:ascii="Times New Roman" w:eastAsia="黑体" w:cs="Times New Roman" w:hAnsi="Times New Roman"/>
          <w:b w:val="0"/>
          <w:bCs/>
          <w:sz w:val="32"/>
          <w:szCs w:val="32"/>
          <w:lang w:eastAsia="zh-CN"/>
        </w:rPr>
      </w:pPr>
      <w:r>
        <w:rPr>
          <w:rFonts w:ascii="Times New Roman" w:eastAsia="黑体" w:cs="Times New Roman" w:hAnsi="Times New Roman"/>
          <w:b w:val="0"/>
          <w:bCs/>
          <w:sz w:val="32"/>
          <w:szCs w:val="32"/>
          <w:lang w:val="en-US" w:eastAsia="zh-CN"/>
        </w:rPr>
        <w:t>三</w:t>
      </w:r>
      <w:r>
        <w:rPr>
          <w:rFonts w:ascii="Times New Roman" w:eastAsia="黑体" w:cs="Times New Roman" w:hAnsi="Times New Roman"/>
          <w:b w:val="0"/>
          <w:bCs/>
          <w:sz w:val="32"/>
          <w:szCs w:val="32"/>
          <w:lang w:eastAsia="zh-CN"/>
        </w:rPr>
        <w:t>、政策执行范围和有关期限</w:t>
      </w:r>
    </w:p>
    <w:p>
      <w:pPr>
        <w:keepNext w:val="0"/>
        <w:keepLines w:val="0"/>
        <w:pageBreakBefore w:val="0"/>
        <w:widowControl/>
        <w:kinsoku/>
        <w:wordWrap/>
        <w:overflowPunct/>
        <w:topLinePunct w:val="0"/>
        <w:autoSpaceDE/>
        <w:autoSpaceDN/>
        <w:adjustRightInd/>
        <w:snapToGrid/>
        <w:spacing w:after="0" w:line="600" w:lineRule="exact"/>
        <w:ind w:firstLineChars="200" w:firstLine="640"/>
        <w:jc w:val="both"/>
        <w:rPr>
          <w:rFonts w:ascii="仿宋_GB2312" w:eastAsia="仿宋_GB2312" w:cs="Times New Roman" w:hint="eastAsia"/>
          <w:sz w:val="32"/>
          <w:szCs w:val="32"/>
        </w:rPr>
      </w:pPr>
      <w:r>
        <w:rPr>
          <w:rFonts w:ascii="仿宋_GB2312" w:eastAsia="仿宋_GB2312" w:cs="Times New Roman" w:hint="eastAsia"/>
          <w:sz w:val="32"/>
          <w:szCs w:val="32"/>
          <w:lang w:eastAsia="zh-CN"/>
        </w:rPr>
        <w:t>《四川省本科院校教师职称申报评审基本条件（征求意见稿）》《四川省高等职业院校教师职称申报评审基本条件（征求意见稿）》自2024年1月1日起施行，有效期</w:t>
      </w:r>
      <w:r>
        <w:rPr>
          <w:rFonts w:ascii="仿宋_GB2312" w:eastAsia="仿宋_GB2312" w:cs="Times New Roman" w:hint="eastAsia"/>
          <w:sz w:val="32"/>
          <w:szCs w:val="32"/>
          <w:lang w:val="en-US" w:eastAsia="zh-CN"/>
        </w:rPr>
        <w:t>5年。</w:t>
      </w:r>
    </w:p>
    <w:sectPr>
      <w:pgSz w:w="12240" w:h="15840"/>
      <w:pgMar w:top="2098" w:right="1474" w:bottom="1984" w:left="1588" w:header="720" w:footer="720" w:gutter="0"/>
      <w:docGrid w:linePitch="360"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小标宋_GBK">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Calibri">
    <w:altName w:val="Times New Roman"/>
    <w:panose1 w:val="020F0502020204030204"/>
    <w:charset w:val="00"/>
    <w:family w:val="swiss"/>
    <w:pitch w:val="variable"/>
    <w:sig w:usb0="E00002FF" w:usb1="4000ACFF" w:usb2="00000001" w:usb3="00000000" w:csb0="2000019F" w:csb1="00000000"/>
  </w:font>
  <w:font w:name="ＭＳ ゴシック">
    <w:altName w:val="DejaVu Sans"/>
    <w:panose1 w:val="00000000000000000000"/>
    <w:charset w:val="00"/>
    <w:family w:val="auto"/>
    <w:pitch w:val="variable"/>
    <w:sig w:usb0="00000000" w:usb1="00000000" w:usb2="00000000" w:usb3="00000000" w:csb0="00000000" w:csb1="00000000"/>
  </w:font>
  <w:font w:name="Courier">
    <w:altName w:val="DejaVu Math TeX Gyre"/>
    <w:panose1 w:val="02000500000000000000"/>
    <w:charset w:val="00"/>
    <w:family w:val="auto"/>
    <w:pitch w:val="variable"/>
    <w:sig w:usb0="00000000" w:usb1="00000000" w:usb2="00000000" w:usb3="00000000" w:csb0="00000001" w:csb1="00000000"/>
  </w:font>
  <w:font w:name="ＭＳ 明朝">
    <w:altName w:val="DejaVu Sans"/>
    <w:panose1 w:val="00000000000000000000"/>
    <w:charset w:val="00"/>
    <w:family w:val="auto"/>
    <w:pitch w:val="variable"/>
    <w:sig w:usb0="00000000" w:usb1="00000000" w:usb2="00000000" w:usb3="00000000" w:csb0="00000000" w:csb1="00000000"/>
  </w:font>
  <w:font w:name="Cambria">
    <w:altName w:val="DejaVu Sans"/>
    <w:panose1 w:val="02040503050406030204"/>
    <w:charset w:val="00"/>
    <w:family w:val="auto"/>
    <w:pitch w:val="variable"/>
    <w:sig w:usb0="E00002FF" w:usb1="400004FF" w:usb2="00000000" w:usb3="00000000" w:csb0="2000019F" w:csb1="00000000"/>
  </w:font>
  <w:font w:name="Symbol">
    <w:panose1 w:val="05050102010706020507"/>
    <w:charset w:val="02"/>
    <w:family w:val="roman"/>
    <w:pitch w:val="variable"/>
    <w:sig w:usb0="00000000" w:usb1="00000000" w:usb2="00000000" w:usb3="00000000" w:csb0="8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FFFFF7F"/>
    <w:multiLevelType w:val="singleLevel"/>
    <w:tmpl w:val="FFFFFF7F"/>
    <w:lvl w:ilvl="0">
      <w:start w:val="1"/>
      <w:numFmt w:val="decimal"/>
      <w:lvlRestart w:val="0"/>
      <w:pStyle w:val="17"/>
      <w:lvlText w:val="%1."/>
      <w:lvlJc w:val="left"/>
      <w:pPr>
        <w:ind w:left="720" w:hanging="360"/>
      </w:pPr>
    </w:lvl>
  </w:abstractNum>
  <w:abstractNum w:abstractNumId="1">
    <w:nsid w:val="FFFFFF88"/>
    <w:multiLevelType w:val="singleLevel"/>
    <w:tmpl w:val="FFFFFF88"/>
    <w:lvl w:ilvl="0">
      <w:start w:val="1"/>
      <w:numFmt w:val="decimal"/>
      <w:lvlRestart w:val="0"/>
      <w:pStyle w:val="18"/>
      <w:lvlText w:val="%1."/>
      <w:lvlJc w:val="left"/>
      <w:pPr>
        <w:ind w:left="360" w:hanging="360"/>
      </w:pPr>
    </w:lvl>
  </w:abstractNum>
  <w:abstractNum w:abstractNumId="2">
    <w:nsid w:val="FFFFFF89"/>
    <w:multiLevelType w:val="singleLevel"/>
    <w:tmpl w:val="FFFFFF89"/>
    <w:lvl w:ilvl="0">
      <w:start w:val="1"/>
      <w:numFmt w:val="bullet"/>
      <w:lvlRestart w:val="0"/>
      <w:pStyle w:val="20"/>
      <w:lvlText w:val=""/>
      <w:lvlJc w:val="left"/>
      <w:pPr>
        <w:ind w:left="360" w:hanging="360"/>
      </w:pPr>
      <w:rPr>
        <w:rFonts w:ascii="Symbol" w:hAnsi="Symbol" w:hint="default"/>
      </w:rPr>
    </w:lvl>
  </w:abstractNum>
  <w:abstractNum w:abstractNumId="3">
    <w:nsid w:val="FFFFFF82"/>
    <w:multiLevelType w:val="singleLevel"/>
    <w:tmpl w:val="FFFFFF82"/>
    <w:lvl w:ilvl="0">
      <w:start w:val="1"/>
      <w:numFmt w:val="bullet"/>
      <w:lvlRestart w:val="0"/>
      <w:pStyle w:val="22"/>
      <w:lvlText w:val=""/>
      <w:lvlJc w:val="left"/>
      <w:pPr>
        <w:ind w:left="1080" w:hanging="360"/>
      </w:pPr>
      <w:rPr>
        <w:rFonts w:ascii="Symbol" w:hAnsi="Symbol" w:hint="default"/>
      </w:rPr>
    </w:lvl>
  </w:abstractNum>
  <w:abstractNum w:abstractNumId="4">
    <w:nsid w:val="FFFFFF7E"/>
    <w:multiLevelType w:val="singleLevel"/>
    <w:tmpl w:val="FFFFFF7E"/>
    <w:lvl w:ilvl="0">
      <w:start w:val="1"/>
      <w:numFmt w:val="decimal"/>
      <w:lvlRestart w:val="0"/>
      <w:pStyle w:val="24"/>
      <w:lvlText w:val="%1."/>
      <w:lvlJc w:val="left"/>
      <w:pPr>
        <w:ind w:left="1080" w:hanging="360"/>
      </w:pPr>
    </w:lvl>
  </w:abstractNum>
  <w:abstractNum w:abstractNumId="5">
    <w:nsid w:val="FFFFFF83"/>
    <w:multiLevelType w:val="singleLevel"/>
    <w:tmpl w:val="FFFFFF83"/>
    <w:lvl w:ilvl="0">
      <w:start w:val="1"/>
      <w:numFmt w:val="bullet"/>
      <w:lvlRestart w:val="0"/>
      <w:pStyle w:val="27"/>
      <w:lvlText w:val=""/>
      <w:lvlJc w:val="left"/>
      <w:pPr>
        <w:ind w:left="7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720"/>
  <w:drawingGridHorizontalSpacing w:val="110"/>
  <w:drawingGridVerticalSpacing w:val="156"/>
  <w:displayHorizontalDrawingGridEvery w:val="0"/>
  <w:displayVerticalDrawingGridEvery w:val="1"/>
  <w:compat>
    <w:spaceForUL/>
    <w:compatSetting w:name="compatibilityMode" w:uri="http://schemas.microsoft.com/office/word" w:val="14"/>
  </w:compat>
  <w:docVars>
    <w:docVar w:name="commondata" w:val="eyJoZGlkIjoiNTZjZjcxNmFiNWMxYTYzNzZlNjg1NDQ1Y2RmMDQ0Mm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spacing w:after="200" w:line="276" w:lineRule="auto"/>
    </w:pPr>
    <w:rPr>
      <w:rFonts w:ascii="Times New Roman" w:eastAsia="宋体" w:cs="Arial" w:hAnsi="Times New Roman"/>
      <w:sz w:val="22"/>
      <w:szCs w:val="22"/>
      <w:lang w:val="en-US" w:eastAsia="zh-CN" w:bidi="ar-SA"/>
    </w:rPr>
  </w:style>
  <w:style w:type="paragraph" w:styleId="1">
    <w:name w:val="heading 1"/>
    <w:basedOn w:val="0"/>
    <w:next w:val="0"/>
    <w:pPr>
      <w:keepNext/>
      <w:keepLines/>
      <w:spacing w:before="480" w:after="0"/>
      <w:outlineLvl w:val="0"/>
    </w:pPr>
    <w:rPr>
      <w:rFonts w:ascii="Calibri" w:eastAsia="ＭＳ ゴシック" w:cs="Times New Roman" w:hAnsi="Calibri"/>
      <w:b/>
      <w:bCs/>
      <w:color w:val="376092"/>
      <w:sz w:val="28"/>
      <w:szCs w:val="28"/>
    </w:rPr>
  </w:style>
  <w:style w:type="paragraph" w:styleId="2">
    <w:name w:val="heading 2"/>
    <w:basedOn w:val="0"/>
    <w:next w:val="0"/>
    <w:pPr>
      <w:keepNext/>
      <w:keepLines/>
      <w:spacing w:before="200" w:after="0"/>
      <w:outlineLvl w:val="1"/>
    </w:pPr>
    <w:rPr>
      <w:rFonts w:ascii="Calibri" w:eastAsia="ＭＳ ゴシック" w:cs="Times New Roman" w:hAnsi="Calibri"/>
      <w:b/>
      <w:bCs/>
      <w:color w:val="4F81BD"/>
      <w:sz w:val="26"/>
      <w:szCs w:val="26"/>
    </w:rPr>
  </w:style>
  <w:style w:type="paragraph" w:styleId="3">
    <w:name w:val="heading 3"/>
    <w:basedOn w:val="0"/>
    <w:next w:val="0"/>
    <w:pPr>
      <w:keepNext/>
      <w:keepLines/>
      <w:spacing w:before="200" w:after="0"/>
      <w:outlineLvl w:val="2"/>
    </w:pPr>
    <w:rPr>
      <w:rFonts w:ascii="Calibri" w:eastAsia="ＭＳ ゴシック" w:cs="Times New Roman" w:hAnsi="Calibri"/>
      <w:b/>
      <w:bCs/>
      <w:color w:val="4F81BD"/>
    </w:rPr>
  </w:style>
  <w:style w:type="paragraph" w:styleId="4">
    <w:name w:val="heading 4"/>
    <w:basedOn w:val="0"/>
    <w:next w:val="0"/>
    <w:pPr>
      <w:keepNext/>
      <w:keepLines/>
      <w:spacing w:before="200" w:after="0"/>
      <w:outlineLvl w:val="3"/>
    </w:pPr>
    <w:rPr>
      <w:rFonts w:ascii="Calibri" w:eastAsia="ＭＳ ゴシック" w:cs="Times New Roman" w:hAnsi="Calibri"/>
      <w:b/>
      <w:bCs/>
      <w:i/>
      <w:iCs/>
      <w:color w:val="4F81BD"/>
    </w:rPr>
  </w:style>
  <w:style w:type="paragraph" w:styleId="5">
    <w:name w:val="heading 5"/>
    <w:basedOn w:val="0"/>
    <w:next w:val="0"/>
    <w:pPr>
      <w:keepNext/>
      <w:keepLines/>
      <w:spacing w:before="200" w:after="0"/>
      <w:outlineLvl w:val="4"/>
    </w:pPr>
    <w:rPr>
      <w:rFonts w:ascii="Calibri" w:eastAsia="ＭＳ ゴシック" w:cs="Times New Roman" w:hAnsi="Calibri"/>
      <w:color w:val="254061"/>
    </w:rPr>
  </w:style>
  <w:style w:type="paragraph" w:styleId="6">
    <w:name w:val="heading 6"/>
    <w:basedOn w:val="0"/>
    <w:next w:val="0"/>
    <w:pPr>
      <w:keepNext/>
      <w:keepLines/>
      <w:spacing w:before="200" w:after="0"/>
      <w:outlineLvl w:val="5"/>
    </w:pPr>
    <w:rPr>
      <w:rFonts w:ascii="Calibri" w:eastAsia="ＭＳ ゴシック" w:cs="Times New Roman" w:hAnsi="Calibri"/>
      <w:i/>
      <w:iCs/>
      <w:color w:val="254061"/>
    </w:rPr>
  </w:style>
  <w:style w:type="paragraph" w:styleId="7">
    <w:name w:val="heading 7"/>
    <w:basedOn w:val="0"/>
    <w:next w:val="0"/>
    <w:pPr>
      <w:keepNext/>
      <w:keepLines/>
      <w:spacing w:before="200" w:after="0"/>
      <w:outlineLvl w:val="6"/>
    </w:pPr>
    <w:rPr>
      <w:rFonts w:ascii="Calibri" w:eastAsia="ＭＳ ゴシック" w:cs="Times New Roman" w:hAnsi="Calibri"/>
      <w:i/>
      <w:iCs/>
      <w:color w:val="404040"/>
    </w:rPr>
  </w:style>
  <w:style w:type="paragraph" w:styleId="8">
    <w:name w:val="heading 8"/>
    <w:basedOn w:val="0"/>
    <w:next w:val="0"/>
    <w:pPr>
      <w:keepNext/>
      <w:keepLines/>
      <w:spacing w:before="200" w:after="0"/>
      <w:outlineLvl w:val="7"/>
    </w:pPr>
    <w:rPr>
      <w:rFonts w:ascii="Calibri" w:eastAsia="ＭＳ ゴシック" w:cs="Times New Roman" w:hAnsi="Calibri"/>
      <w:color w:val="4F81BD"/>
      <w:sz w:val="20"/>
      <w:szCs w:val="20"/>
    </w:rPr>
  </w:style>
  <w:style w:type="paragraph" w:styleId="9">
    <w:name w:val="heading 9"/>
    <w:basedOn w:val="0"/>
    <w:next w:val="0"/>
    <w:pPr>
      <w:keepNext/>
      <w:keepLines/>
      <w:spacing w:before="200" w:after="0"/>
      <w:outlineLvl w:val="8"/>
    </w:pPr>
    <w:rPr>
      <w:rFonts w:ascii="Calibri" w:eastAsia="ＭＳ ゴシック" w:cs="Times New Roman" w:hAnsi="Calibri"/>
      <w:i/>
      <w:iCs/>
      <w:color w:val="404040"/>
      <w:sz w:val="20"/>
      <w:szCs w:val="20"/>
    </w:rPr>
  </w:style>
  <w:style w:type="character" w:default="1" w:styleId="10">
    <w:name w:val="Default Paragraph Font"/>
  </w:style>
  <w:style w:type="paragraph" w:styleId="15">
    <w:name w:val="macro"/>
    <w:pPr>
      <w:tabs>
        <w:tab w:val="left" w:pos="576"/>
        <w:tab w:val="left" w:pos="1152"/>
        <w:tab w:val="left" w:pos="1728"/>
        <w:tab w:val="left" w:pos="2304"/>
        <w:tab w:val="left" w:pos="2880"/>
        <w:tab w:val="left" w:pos="3456"/>
        <w:tab w:val="left" w:pos="4032"/>
      </w:tabs>
      <w:spacing w:after="200" w:line="276" w:lineRule="auto"/>
    </w:pPr>
    <w:rPr>
      <w:rFonts w:ascii="Courier" w:eastAsia="ＭＳ 明朝" w:cs="Arial" w:hAnsi="Courier"/>
      <w:sz w:val="20"/>
      <w:szCs w:val="20"/>
      <w:lang w:val="en-US" w:eastAsia="zh-CN" w:bidi="ar-SA"/>
    </w:rPr>
  </w:style>
  <w:style w:type="paragraph" w:styleId="16">
    <w:name w:val="List 3"/>
    <w:basedOn w:val="0"/>
    <w:pPr>
      <w:ind w:left="1080" w:hanging="360"/>
      <w:contextualSpacing/>
    </w:pPr>
  </w:style>
  <w:style w:type="paragraph" w:styleId="17">
    <w:name w:val="List Number 2"/>
    <w:basedOn w:val="0"/>
    <w:pPr>
      <w:numPr>
        <w:ilvl w:val="0"/>
        <w:numId w:val="1"/>
      </w:numPr>
      <w:contextualSpacing/>
    </w:pPr>
  </w:style>
  <w:style w:type="paragraph" w:styleId="18">
    <w:name w:val="List Number"/>
    <w:basedOn w:val="0"/>
    <w:pPr>
      <w:numPr>
        <w:ilvl w:val="0"/>
        <w:numId w:val="2"/>
      </w:numPr>
      <w:contextualSpacing/>
    </w:pPr>
  </w:style>
  <w:style w:type="paragraph" w:styleId="19">
    <w:name w:val="caption"/>
    <w:basedOn w:val="0"/>
    <w:next w:val="0"/>
    <w:pPr>
      <w:spacing w:line="240" w:lineRule="auto"/>
    </w:pPr>
    <w:rPr>
      <w:b/>
      <w:bCs/>
      <w:color w:val="4F81BD"/>
      <w:sz w:val="18"/>
      <w:szCs w:val="18"/>
    </w:rPr>
  </w:style>
  <w:style w:type="paragraph" w:styleId="20">
    <w:name w:val="List Bullet"/>
    <w:basedOn w:val="0"/>
    <w:pPr>
      <w:numPr>
        <w:ilvl w:val="0"/>
        <w:numId w:val="3"/>
      </w:numPr>
      <w:contextualSpacing/>
    </w:pPr>
  </w:style>
  <w:style w:type="paragraph" w:styleId="21">
    <w:name w:val="Body Text 3"/>
    <w:basedOn w:val="0"/>
    <w:pPr>
      <w:spacing w:after="120"/>
    </w:pPr>
    <w:rPr>
      <w:sz w:val="16"/>
      <w:szCs w:val="16"/>
    </w:rPr>
  </w:style>
  <w:style w:type="paragraph" w:styleId="22">
    <w:name w:val="List Bullet 3"/>
    <w:basedOn w:val="0"/>
    <w:pPr>
      <w:numPr>
        <w:ilvl w:val="0"/>
        <w:numId w:val="4"/>
      </w:numPr>
      <w:contextualSpacing/>
    </w:pPr>
  </w:style>
  <w:style w:type="paragraph" w:styleId="23">
    <w:name w:val="Body Text"/>
    <w:basedOn w:val="0"/>
    <w:pPr>
      <w:spacing w:after="120"/>
    </w:pPr>
  </w:style>
  <w:style w:type="paragraph" w:styleId="24">
    <w:name w:val="List Number 3"/>
    <w:basedOn w:val="0"/>
    <w:pPr>
      <w:numPr>
        <w:ilvl w:val="0"/>
        <w:numId w:val="5"/>
      </w:numPr>
      <w:contextualSpacing/>
    </w:pPr>
  </w:style>
  <w:style w:type="paragraph" w:styleId="25">
    <w:name w:val="List 2"/>
    <w:basedOn w:val="0"/>
    <w:pPr>
      <w:ind w:left="720" w:hanging="360"/>
      <w:contextualSpacing/>
    </w:pPr>
  </w:style>
  <w:style w:type="paragraph" w:styleId="26">
    <w:name w:val="List Continue"/>
    <w:basedOn w:val="0"/>
    <w:pPr>
      <w:spacing w:after="120"/>
      <w:ind w:left="360"/>
      <w:contextualSpacing/>
    </w:pPr>
  </w:style>
  <w:style w:type="paragraph" w:styleId="27">
    <w:name w:val="List Bullet 2"/>
    <w:basedOn w:val="0"/>
    <w:pPr>
      <w:numPr>
        <w:ilvl w:val="0"/>
        <w:numId w:val="6"/>
      </w:numPr>
      <w:contextualSpacing/>
    </w:pPr>
  </w:style>
  <w:style w:type="paragraph" w:styleId="28">
    <w:name w:val="footer"/>
    <w:basedOn w:val="0"/>
    <w:pPr>
      <w:tabs>
        <w:tab w:val="center" w:pos="4680"/>
        <w:tab w:val="right" w:pos="9360"/>
      </w:tabs>
      <w:spacing w:after="0" w:line="240" w:lineRule="auto"/>
    </w:pPr>
  </w:style>
  <w:style w:type="paragraph" w:styleId="29">
    <w:name w:val="header"/>
    <w:basedOn w:val="0"/>
    <w:pPr>
      <w:tabs>
        <w:tab w:val="center" w:pos="4680"/>
        <w:tab w:val="right" w:pos="9360"/>
      </w:tabs>
      <w:spacing w:after="0" w:line="240" w:lineRule="auto"/>
    </w:pPr>
  </w:style>
  <w:style w:type="paragraph" w:styleId="30">
    <w:name w:val="Subtitle"/>
    <w:basedOn w:val="0"/>
    <w:next w:val="0"/>
    <w:rPr>
      <w:rFonts w:ascii="Calibri" w:eastAsia="ＭＳ ゴシック" w:cs="Times New Roman" w:hAnsi="Calibri"/>
      <w:i/>
      <w:iCs/>
      <w:color w:val="4F81BD"/>
      <w:spacing w:val="15"/>
      <w:sz w:val="24"/>
      <w:szCs w:val="24"/>
    </w:rPr>
  </w:style>
  <w:style w:type="paragraph" w:styleId="31">
    <w:name w:val="List"/>
    <w:basedOn w:val="0"/>
    <w:pPr>
      <w:ind w:left="360" w:hanging="360"/>
      <w:contextualSpacing/>
    </w:pPr>
  </w:style>
  <w:style w:type="paragraph" w:styleId="32">
    <w:name w:val="Body Text 2"/>
    <w:basedOn w:val="0"/>
    <w:pPr>
      <w:spacing w:after="120" w:line="480" w:lineRule="auto"/>
    </w:pPr>
  </w:style>
  <w:style w:type="paragraph" w:styleId="33">
    <w:name w:val="List Continue 2"/>
    <w:basedOn w:val="0"/>
    <w:pPr>
      <w:spacing w:after="120"/>
      <w:ind w:left="720"/>
      <w:contextualSpacing/>
    </w:pPr>
  </w:style>
  <w:style w:type="paragraph" w:styleId="34">
    <w:name w:val="List Continue 3"/>
    <w:basedOn w:val="0"/>
    <w:pPr>
      <w:spacing w:after="120"/>
      <w:ind w:left="1080"/>
      <w:contextualSpacing/>
    </w:pPr>
  </w:style>
  <w:style w:type="paragraph" w:styleId="35">
    <w:name w:val="Title"/>
    <w:basedOn w:val="0"/>
    <w:next w:val="0"/>
    <w:pPr>
      <w:pBdr>
        <w:bottom w:val="single" w:sz="8" w:space="4" w:color="4F81BD"/>
      </w:pBdr>
      <w:spacing w:after="300" w:line="240" w:lineRule="auto"/>
      <w:contextualSpacing/>
    </w:pPr>
    <w:rPr>
      <w:rFonts w:ascii="Calibri" w:eastAsia="ＭＳ ゴシック" w:cs="Times New Roman" w:hAnsi="Calibri"/>
      <w:color w:val="17375E"/>
      <w:spacing w:val="5"/>
      <w:kern w:val="28"/>
      <w:sz w:val="52"/>
      <w:szCs w:val="52"/>
    </w:rPr>
  </w:style>
  <w:style w:type="character" w:styleId="36">
    <w:name w:val="Strong"/>
    <w:basedOn w:val="10"/>
    <w:rPr>
      <w:b/>
      <w:bCs/>
    </w:rPr>
  </w:style>
  <w:style w:type="character" w:styleId="37">
    <w:name w:val="Emphasis"/>
    <w:basedOn w:val="10"/>
    <w:rPr>
      <w:i/>
      <w:iCs/>
    </w:rPr>
  </w:style>
  <w:style w:type="paragraph" w:styleId="38">
    <w:name w:val="No Spacing"/>
    <w:pPr>
      <w:spacing w:after="0" w:line="240" w:lineRule="auto"/>
    </w:pPr>
    <w:rPr>
      <w:rFonts w:ascii="Cambria" w:eastAsia="ＭＳ 明朝" w:cs="Arial" w:hAnsi="Cambria"/>
      <w:sz w:val="22"/>
      <w:szCs w:val="22"/>
      <w:lang w:val="en-US" w:eastAsia="zh-CN" w:bidi="ar-SA"/>
    </w:rPr>
  </w:style>
  <w:style w:type="paragraph" w:styleId="39">
    <w:name w:val="List Paragraph"/>
    <w:basedOn w:val="0"/>
    <w:pPr>
      <w:ind w:left="720"/>
      <w:contextualSpacing/>
    </w:pPr>
  </w:style>
  <w:style w:type="paragraph" w:styleId="40">
    <w:name w:val="Quote"/>
    <w:basedOn w:val="0"/>
    <w:next w:val="0"/>
    <w:rPr>
      <w:i/>
      <w:iCs/>
      <w:color w:val="000000"/>
    </w:rPr>
  </w:style>
  <w:style w:type="paragraph" w:styleId="41">
    <w:name w:val="Intense Quote"/>
    <w:basedOn w:val="0"/>
    <w:next w:val="0"/>
    <w:pPr>
      <w:pBdr>
        <w:bottom w:val="single" w:sz="4" w:space="4" w:color="4F81BD"/>
      </w:pBdr>
      <w:spacing w:before="200" w:after="280"/>
      <w:ind w:left="936" w:right="936"/>
    </w:pPr>
    <w:rPr>
      <w:b/>
      <w:bCs/>
      <w:i/>
      <w:iCs/>
      <w:color w:val="4F81BD"/>
    </w:rPr>
  </w:style>
  <w:style w:type="character" w:customStyle="1" w:styleId="42">
    <w:name w:val="Subtle Emphasis"/>
    <w:basedOn w:val="10"/>
    <w:rPr>
      <w:i/>
      <w:iCs/>
      <w:color w:val="808080"/>
    </w:rPr>
  </w:style>
  <w:style w:type="character" w:customStyle="1" w:styleId="43">
    <w:name w:val="Intense Emphasis"/>
    <w:basedOn w:val="10"/>
    <w:rPr>
      <w:b/>
      <w:bCs/>
      <w:i/>
      <w:iCs/>
      <w:color w:val="4F81BD"/>
    </w:rPr>
  </w:style>
  <w:style w:type="character" w:customStyle="1" w:styleId="44">
    <w:name w:val="Subtle Reference"/>
    <w:basedOn w:val="10"/>
    <w:rPr>
      <w:caps w:val="0"/>
      <w:smallCaps/>
      <w:color w:val="C0504D"/>
      <w:u w:val="single"/>
    </w:rPr>
  </w:style>
  <w:style w:type="character" w:customStyle="1" w:styleId="45">
    <w:name w:val="Intense Reference"/>
    <w:basedOn w:val="10"/>
    <w:rPr>
      <w:b/>
      <w:bCs/>
      <w:caps w:val="0"/>
      <w:smallCaps/>
      <w:color w:val="C0504D"/>
      <w:spacing w:val="5"/>
      <w:u w:val="single"/>
    </w:rPr>
  </w:style>
  <w:style w:type="character" w:customStyle="1" w:styleId="46">
    <w:name w:val="Book Title"/>
    <w:basedOn w:val="10"/>
    <w:rPr>
      <w:b/>
      <w:bCs/>
      <w:caps w:val="0"/>
      <w:smallCaps/>
      <w:spacing w:val="5"/>
    </w:rPr>
  </w:style>
  <w:style w:type="paragraph" w:customStyle="1" w:styleId="47">
    <w:name w:val="TOC Heading"/>
    <w:basedOn w:val="1"/>
    <w:next w:val="0"/>
    <w:pPr>
      <w:outlineLvl w:val="9"/>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gradFill rotWithShape="1">
          <a:gsLst>
            <a:gs pos="0">
              <a:srgbClr val="3F80CD">
                <a:alpha val="100000"/>
              </a:srgbClr>
            </a:gs>
            <a:gs pos="100000">
              <a:srgbClr val="9BC1FF">
                <a:alpha val="100000"/>
              </a:srgbClr>
            </a:gs>
          </a:gsLst>
          <a:lin ang="16200000" scaled="1"/>
        </a:gradFill>
        <a:ln w="9525" cmpd="sng" cap="flat">
          <a:solidFill>
            <a:srgbClr val="4A7EBB"/>
          </a:solidFill>
          <a:prstDash val="solid"/>
          <a:round/>
        </a:ln>
        <a:effectLst>
          <a:outerShdw sx="100000" sy="100000" algn="b" rotWithShape="0" blurRad="40000" dist="23000" dir="5400000">
            <a:srgbClr val="000000">
              <a:alpha val="34509"/>
            </a:srgb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mpd="sng" cap="flat">
          <a:solidFill>
            <a:srgbClr val="4A7EBB"/>
          </a:solidFill>
          <a:prstDash val="solid"/>
          <a:round/>
        </a:ln>
        <a:effectLst>
          <a:outerShdw sx="100000" sy="100000" algn="b" rotWithShape="0" blurRad="40000" dist="23000" dir="5400000">
            <a:srgbClr val="000000">
              <a:alpha val="34509"/>
            </a:srgbClr>
          </a:outerShdw>
        </a:effectLst>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docProps/app.xml><?xml version="1.0" encoding="utf-8"?>
<Properties xmlns="http://schemas.openxmlformats.org/officeDocument/2006/extended-properties">
  <Template>Normal.eit</Template>
  <TotalTime>8</TotalTime>
  <Application>Yozo_Office27021597764231179</Application>
  <Pages>3</Pages>
  <Words>1355</Words>
  <Characters>1371</Characters>
  <Lines>55</Lines>
  <Paragraphs>10</Paragraphs>
  <CharactersWithSpaces>1375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user</cp:lastModifiedBy>
  <cp:revision>1</cp:revision>
  <dcterms:created xsi:type="dcterms:W3CDTF">2013-12-24T15:15:00Z</dcterms:created>
  <dcterms:modified xsi:type="dcterms:W3CDTF">2023-12-01T07:39:35Z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441FE22CFBF7466284D419D33038BBC1_12</vt:lpwstr>
  </property>
</Properties>
</file>