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8680">
      <w:pPr>
        <w:spacing w:line="700" w:lineRule="exact"/>
        <w:rPr>
          <w:rFonts w:ascii="仿宋_GB2312"/>
        </w:rPr>
      </w:pPr>
      <w:bookmarkStart w:id="0" w:name="doc_mark"/>
    </w:p>
    <w:p w14:paraId="51E708FF">
      <w:pPr>
        <w:snapToGrid w:val="0"/>
        <w:jc w:val="center"/>
      </w:pPr>
      <w:r>
        <w:rPr>
          <w:rFonts w:hint="eastAsia"/>
        </w:rPr>
        <w:t>川教〔2024〕66号</w:t>
      </w:r>
      <w:bookmarkEnd w:id="0"/>
    </w:p>
    <w:p w14:paraId="635E0B30">
      <w:pPr>
        <w:spacing w:line="360" w:lineRule="auto"/>
        <w:rPr>
          <w:rFonts w:ascii="仿宋_GB2312"/>
        </w:rPr>
      </w:pPr>
    </w:p>
    <w:p w14:paraId="2A906783">
      <w:pPr>
        <w:spacing w:line="600" w:lineRule="exact"/>
        <w:rPr>
          <w:rFonts w:ascii="仿宋_GB2312"/>
        </w:rPr>
      </w:pPr>
    </w:p>
    <w:p w14:paraId="482634BE">
      <w:pPr>
        <w:spacing w:line="7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1" w:name="Content"/>
      <w:bookmarkEnd w:id="1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四川省教育厅</w:t>
      </w:r>
    </w:p>
    <w:p w14:paraId="4C5C5A4A">
      <w:pPr>
        <w:spacing w:line="7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关于印发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u w:color="FFFFFF"/>
        </w:rPr>
        <w:t>《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四川省教育领域大规模设备</w:t>
      </w:r>
    </w:p>
    <w:p w14:paraId="48D22B09">
      <w:pPr>
        <w:spacing w:line="7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更新专项行动方案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u w:color="FFFFFF"/>
        </w:rPr>
        <w:t>》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的通知</w:t>
      </w:r>
    </w:p>
    <w:p w14:paraId="6097B6CB">
      <w:pPr>
        <w:spacing w:line="600" w:lineRule="exact"/>
      </w:pPr>
    </w:p>
    <w:p w14:paraId="653ECA7B">
      <w:pPr>
        <w:spacing w:line="600" w:lineRule="exact"/>
      </w:pPr>
      <w:r>
        <w:rPr>
          <w:rFonts w:hint="eastAsia"/>
        </w:rPr>
        <w:t>各市（州）教育主管部门，各高等学校：</w:t>
      </w:r>
    </w:p>
    <w:p w14:paraId="48ACE46E">
      <w:pPr>
        <w:spacing w:line="600" w:lineRule="exact"/>
        <w:ind w:firstLine="640" w:firstLineChars="200"/>
      </w:pPr>
      <w:r>
        <w:rPr>
          <w:rFonts w:hint="eastAsia"/>
        </w:rPr>
        <w:t>现将《四川省教育领域大规模设备更新专项行动方案》印发给你们，请认真贯彻执行。</w:t>
      </w:r>
    </w:p>
    <w:p w14:paraId="6A5CE426"/>
    <w:p w14:paraId="2742D022">
      <w:pPr>
        <w:spacing w:line="600" w:lineRule="exact"/>
      </w:pPr>
    </w:p>
    <w:p w14:paraId="2A98A8F6">
      <w:pPr>
        <w:spacing w:line="600" w:lineRule="exact"/>
      </w:pPr>
    </w:p>
    <w:p w14:paraId="296F476C">
      <w:pPr>
        <w:spacing w:line="600" w:lineRule="exact"/>
        <w:ind w:right="1613" w:rightChars="504" w:firstLine="640" w:firstLineChars="200"/>
        <w:jc w:val="right"/>
      </w:pPr>
      <w:r>
        <w:rPr>
          <w:rFonts w:hint="eastAsia"/>
        </w:rPr>
        <w:t>四川省教育厅</w:t>
      </w:r>
    </w:p>
    <w:p w14:paraId="0DC31694">
      <w:pPr>
        <w:spacing w:line="600" w:lineRule="exact"/>
        <w:ind w:right="1280" w:rightChars="400" w:firstLine="640"/>
        <w:jc w:val="right"/>
      </w:pPr>
      <w:r>
        <w:rPr>
          <w:rFonts w:hint="eastAsia"/>
        </w:rPr>
        <w:t>2024年7月26日</w:t>
      </w:r>
    </w:p>
    <w:p w14:paraId="43A69096">
      <w:pPr>
        <w:pStyle w:val="9"/>
        <w:suppressAutoHyphens w:val="0"/>
        <w:snapToGrid/>
        <w:ind w:firstLine="640" w:firstLineChars="200"/>
        <w:jc w:val="both"/>
        <w:rPr>
          <w:rFonts w:ascii="Times New Roman" w:hAnsi="Times New Roman" w:eastAsia="仿宋_GB2312"/>
          <w:sz w:val="32"/>
          <w:szCs w:val="33"/>
        </w:rPr>
      </w:pPr>
    </w:p>
    <w:p w14:paraId="6AED55D3">
      <w:pPr>
        <w:spacing w:line="7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 w14:paraId="28F86B42">
      <w:pPr>
        <w:spacing w:line="7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 w14:paraId="09773C52">
      <w:pPr>
        <w:spacing w:line="7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 w14:paraId="30BA92B0">
      <w:pPr>
        <w:spacing w:line="7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四川省教育领域大规模设备更新</w:t>
      </w:r>
    </w:p>
    <w:p w14:paraId="15A9A9DF">
      <w:pPr>
        <w:spacing w:line="7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专项行动方案</w:t>
      </w:r>
    </w:p>
    <w:p w14:paraId="52514D29">
      <w:pPr>
        <w:pStyle w:val="4"/>
        <w:suppressAutoHyphens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E21F8CF">
      <w:pPr>
        <w:spacing w:line="600" w:lineRule="exact"/>
        <w:ind w:firstLine="640" w:firstLineChars="200"/>
      </w:pPr>
      <w:r>
        <w:rPr>
          <w:rFonts w:hint="eastAsia"/>
        </w:rPr>
        <w:t>为贯彻落实党中央、国务院和省委、省政府决策部署，根据《国务院关于印发</w:t>
      </w:r>
      <w:r>
        <w:rPr>
          <w:rFonts w:hint="eastAsia"/>
          <w:lang w:val="en"/>
        </w:rPr>
        <w:t>〈</w:t>
      </w:r>
      <w:r>
        <w:rPr>
          <w:rFonts w:hint="eastAsia"/>
        </w:rPr>
        <w:t>推动大规模设备更新和消费品以旧换新行动方案</w:t>
      </w:r>
      <w:r>
        <w:rPr>
          <w:rFonts w:hint="eastAsia"/>
          <w:lang w:val="en"/>
        </w:rPr>
        <w:t>〉</w:t>
      </w:r>
      <w:r>
        <w:rPr>
          <w:rFonts w:hint="eastAsia"/>
        </w:rPr>
        <w:t>的通知》（国发〔2024〕7号）、《四川省人民政府关于印发</w:t>
      </w:r>
      <w:r>
        <w:rPr>
          <w:rFonts w:hint="eastAsia"/>
          <w:lang w:val="en"/>
        </w:rPr>
        <w:t>〈</w:t>
      </w:r>
      <w:r>
        <w:rPr>
          <w:rFonts w:hint="eastAsia"/>
        </w:rPr>
        <w:t>四川省推动大规模设备更新和消费品以旧换新实施方案</w:t>
      </w:r>
      <w:r>
        <w:rPr>
          <w:rFonts w:hint="eastAsia"/>
          <w:lang w:val="en"/>
        </w:rPr>
        <w:t>〉</w:t>
      </w:r>
      <w:r>
        <w:rPr>
          <w:rFonts w:hint="eastAsia"/>
        </w:rPr>
        <w:t>的通知》（川府发〔2024〕10号）、《国家发展改革委 教育部关于印发</w:t>
      </w:r>
      <w:r>
        <w:rPr>
          <w:rFonts w:hint="eastAsia"/>
          <w:lang w:val="en"/>
        </w:rPr>
        <w:t>〈</w:t>
      </w:r>
      <w:r>
        <w:rPr>
          <w:rFonts w:hint="eastAsia"/>
        </w:rPr>
        <w:t>教育领域重大设备更新实施方案</w:t>
      </w:r>
      <w:r>
        <w:rPr>
          <w:rFonts w:hint="eastAsia"/>
          <w:lang w:val="en"/>
        </w:rPr>
        <w:t>〉</w:t>
      </w:r>
      <w:r>
        <w:rPr>
          <w:rFonts w:hint="eastAsia"/>
        </w:rPr>
        <w:t>的通知》（发改社会〔2024〕718号），结合我省实际，现制定以下方案。</w:t>
      </w:r>
    </w:p>
    <w:p w14:paraId="7C294284"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一、总体要求</w:t>
      </w:r>
      <w:bookmarkStart w:id="2" w:name="_GoBack"/>
      <w:bookmarkEnd w:id="2"/>
    </w:p>
    <w:p w14:paraId="56E9B486">
      <w:pPr>
        <w:spacing w:line="600" w:lineRule="exact"/>
        <w:ind w:firstLine="640" w:firstLineChars="200"/>
      </w:pPr>
      <w:r>
        <w:rPr>
          <w:rFonts w:hint="eastAsia"/>
        </w:rPr>
        <w:t>以习近平新时代中国特色社会主义思想为指导，深入贯彻落实中央经济工作会议和中央财经委员会第四次会议部署，聚焦建设教育强省目标，推动教育领域大规模设备更新，提升教育领域设备水平，全面改善学校办学条件，为全省经济高质量发展提供科技和人才支撑。到2027年，教育领域设备投资规模较2023年增长25%以上。</w:t>
      </w:r>
    </w:p>
    <w:p w14:paraId="3CF6FD1E"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二、支持内容</w:t>
      </w:r>
    </w:p>
    <w:p w14:paraId="1B303349">
      <w:pPr>
        <w:pStyle w:val="4"/>
        <w:suppressAutoHyphens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（一）中小学教学实验仪器设备。</w:t>
      </w:r>
      <w:r>
        <w:rPr>
          <w:rFonts w:hint="eastAsia" w:ascii="Times New Roman" w:hAnsi="Times New Roman" w:eastAsia="仿宋_GB2312"/>
          <w:sz w:val="32"/>
          <w:szCs w:val="32"/>
        </w:rPr>
        <w:t>实施教育强国基础设施建设工程，推动符合条件的中学更新升级实验仪器设备、重点是理科实验室设备更新，提升科学教学水平。推动各地中小学校计算机、多媒体教学设备更新，积极推进普通教室、专用教室和实践场所等数字化建设，提升数字校园建设水平。推进有条件学校更新综合实验室、创新实验室、数字实验室和学科教室设备，促进人工智能、大数据、物联网、AR、VR等新技术在教育教学场景中的应用。推进普通教室、专用教室和场所设备更新，改善教学条件。</w:t>
      </w:r>
    </w:p>
    <w:p w14:paraId="64A8535B">
      <w:pPr>
        <w:pStyle w:val="4"/>
        <w:suppressAutoHyphens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（二）职业院校（含技工院校）实训教学设备。</w:t>
      </w:r>
      <w:r>
        <w:rPr>
          <w:rFonts w:hint="eastAsia" w:ascii="Times New Roman" w:hAnsi="Times New Roman" w:eastAsia="仿宋_GB2312"/>
          <w:sz w:val="32"/>
          <w:szCs w:val="32"/>
        </w:rPr>
        <w:t>支持符合专业教学要求及行业标准，或职业院校专业实训教学条件建设标准（职业学校专业仪器设备装备规范）的专业实训教学设备。重点聚焦新一代信息技术产业、高档数控机床和机器人、高端仪器、航空航天设备、船舶与海洋工程装备、先进轨道交通装备、能源电子、节能与新能源汽车、电力装备、农机装备、新材料、生物医药及高性能医疗器材等重点行业和领域，更新不适用实训教学需求、未达到相关实训教学条件标准、影响实训教学安全的设备。</w:t>
      </w:r>
    </w:p>
    <w:p w14:paraId="3A9FAA18">
      <w:pPr>
        <w:pStyle w:val="4"/>
        <w:suppressAutoHyphens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（三）普通高校教学科研仪器设备。</w:t>
      </w:r>
      <w:r>
        <w:rPr>
          <w:rFonts w:hint="eastAsia" w:ascii="Times New Roman" w:hAnsi="Times New Roman" w:eastAsia="仿宋_GB2312"/>
          <w:sz w:val="32"/>
          <w:szCs w:val="32"/>
        </w:rPr>
        <w:t>服务高校人才培养、学科建设、科学研究的重大教学科研仪器设备。重点聚焦集成电路、人工智能、量子科技、生命健康、航天航空、材料、能源等战略急需和新兴领域，以及新工科、新医科、新农科、新文科建设，更新不适应教学科研需求、性能无法达到教学科研相关配置标准或影响使用安全、已达到最低使用年限的设备。鼓励符合条件的高校结合学科专业和科研发展需求，推进国家及省级重点实验室、工程（技术）研究中心、分析测试中心、野外科学观测研究站等科研基地有序推进设备更新。</w:t>
      </w:r>
    </w:p>
    <w:p w14:paraId="584C91D5"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三、支持方式</w:t>
      </w:r>
    </w:p>
    <w:p w14:paraId="3BB00AE3">
      <w:pPr>
        <w:spacing w:line="600" w:lineRule="exact"/>
        <w:ind w:firstLine="640" w:firstLineChars="200"/>
      </w:pPr>
      <w:r>
        <w:rPr>
          <w:rFonts w:hint="eastAsia" w:ascii="楷体_GB2312" w:eastAsia="楷体_GB2312"/>
        </w:rPr>
        <w:t>（一）支持高等教育、职业教育领域设备更新项目争取超长期特别国债。</w:t>
      </w:r>
      <w:r>
        <w:rPr>
          <w:rFonts w:hint="eastAsia"/>
        </w:rPr>
        <w:t>优先支持面向世界科技前沿、经济主战场、国家重大需求、人民生命健康的设备更新项目，优先支持“双一流”建设学科、学科评估结果B＋以上学科，国家产教融合创新平台、国家和省级重点实验室等重大科研平台，以及服务拔尖创新人才培养等所需设备更新项目，优先支持建设科技资源共享服务平台、公共科研平台、产教融合实训基地需要的重大教学、科研、实训设备。“双一流”高校支持额度不超过5亿元，其他学校支持额度不超过2亿元。</w:t>
      </w:r>
    </w:p>
    <w:p w14:paraId="7DEC7FBE">
      <w:pPr>
        <w:pStyle w:val="4"/>
        <w:suppressAutoHyphens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（二）允许通过教育专项资金支持符合条件的设备更新项目。</w:t>
      </w:r>
      <w:r>
        <w:rPr>
          <w:rFonts w:hint="eastAsia" w:ascii="Times New Roman" w:hAnsi="Times New Roman" w:eastAsia="仿宋_GB2312"/>
          <w:sz w:val="32"/>
          <w:szCs w:val="32"/>
        </w:rPr>
        <w:t>各地（校）在充分评估论证的基础上，可根据实际需求，通过义务教育均衡发展补助资金、支持职业教育改革发展补助资金、支持高校改革发展资金等财政专项资金，支持中小学符合条件的实验仪器设备更新升级，推动高校、职业学校（含技工院校）符合条件的教学及科研技术设备更新置换，提升教育教学水平。</w:t>
      </w:r>
    </w:p>
    <w:p w14:paraId="357DF683">
      <w:pPr>
        <w:spacing w:line="600" w:lineRule="exact"/>
        <w:ind w:firstLine="640" w:firstLineChars="200"/>
      </w:pPr>
      <w:r>
        <w:rPr>
          <w:rFonts w:hint="eastAsia" w:ascii="楷体_GB2312" w:eastAsia="楷体_GB2312"/>
        </w:rPr>
        <w:t>（三）将普通高校和职业院校设备更新纳入制造业中长期贷款支持范围。</w:t>
      </w:r>
      <w:r>
        <w:rPr>
          <w:rFonts w:hint="eastAsia"/>
        </w:rPr>
        <w:t>引导普通高校和职业院校积极申报制造业中长期贷款，支持符合国家设备更新要求，财务状况良好、负债率低的普通高校和职业院校更新置换先进技术设备。</w:t>
      </w:r>
    </w:p>
    <w:p w14:paraId="305BB7F8"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四、保障措施</w:t>
      </w:r>
    </w:p>
    <w:p w14:paraId="6A46A6F4">
      <w:pPr>
        <w:spacing w:line="600" w:lineRule="exact"/>
        <w:ind w:firstLine="640" w:firstLineChars="200"/>
      </w:pPr>
      <w:r>
        <w:rPr>
          <w:rFonts w:hint="eastAsia" w:ascii="楷体_GB2312" w:eastAsia="楷体_GB2312"/>
        </w:rPr>
        <w:t>（一）加强组织领导。</w:t>
      </w:r>
      <w:r>
        <w:rPr>
          <w:rFonts w:hint="eastAsia"/>
        </w:rPr>
        <w:t>教育厅会同有关部门统筹抓好实施方案落实，做好项目储备。各地要建立工作机制，扎实开展项目前期各项工作，加快形成“储备一批、开工一批、建设一批”的良性循环。统筹考虑需要和可能，科学研判需求，把钱花在刀刃上，坚决防范和纠治“新形象工程”，严防债务风险，避免出现“半拉子工程”。</w:t>
      </w:r>
    </w:p>
    <w:p w14:paraId="1500C9F7">
      <w:pPr>
        <w:spacing w:line="600" w:lineRule="exact"/>
        <w:ind w:firstLine="640" w:firstLineChars="200"/>
      </w:pPr>
      <w:r>
        <w:rPr>
          <w:rFonts w:hint="eastAsia" w:ascii="楷体_GB2312" w:eastAsia="楷体_GB2312"/>
        </w:rPr>
        <w:t>（二）加强宣传推广。</w:t>
      </w:r>
      <w:r>
        <w:rPr>
          <w:rFonts w:hint="eastAsia"/>
        </w:rPr>
        <w:t>教育厅会同有关部门修订《四川省中小学教育技术装备标准》，举办四川省教育博览会，全面宣传教育装备新产品、新技术、新应用，开展四川省教育装备新技术新产品遴选推广活动，举办教育装备创新论坛，组织开展国产教育设备进高校等活动，加大教育装备新产品、新技术的试用、推广力度，推动四川省教育领域大规模设备更新。</w:t>
      </w:r>
    </w:p>
    <w:p w14:paraId="4951466E">
      <w:pPr>
        <w:spacing w:line="600" w:lineRule="exact"/>
        <w:ind w:firstLine="640" w:firstLineChars="200"/>
      </w:pPr>
      <w:r>
        <w:rPr>
          <w:rFonts w:hint="eastAsia" w:ascii="楷体_GB2312" w:eastAsia="楷体_GB2312"/>
        </w:rPr>
        <w:t>（三）加强资金监管。</w:t>
      </w:r>
      <w:r>
        <w:rPr>
          <w:rFonts w:hint="eastAsia"/>
        </w:rPr>
        <w:t>严格执行《政府采购法》《招投标法》等相关规定，严格履行政府采购、招投标程序。积极指导加快设备采购和资金支付，尽快形成实物量。加强财会监督，严肃财经纪律，强化财政资金全过程、全链条、全方位监管，提高财政资金使用的有效性和精准性，提升各项资金使用效益。各地（校）申报或安排超长期特别国债支持设备更新项目时，不得同时申报或安排其他财政资金。</w:t>
      </w:r>
    </w:p>
    <w:p w14:paraId="5C83704B">
      <w:pPr>
        <w:spacing w:line="600" w:lineRule="exact"/>
        <w:ind w:firstLine="640" w:firstLineChars="200"/>
      </w:pPr>
      <w:r>
        <w:rPr>
          <w:rFonts w:hint="eastAsia" w:ascii="楷体_GB2312" w:eastAsia="楷体_GB2312"/>
        </w:rPr>
        <w:t>（四）加强开放共享。</w:t>
      </w:r>
      <w:r>
        <w:rPr>
          <w:rFonts w:hint="eastAsia"/>
        </w:rPr>
        <w:t>更加突出重大教学科研仪器设备的公共服务属性，建立开放共享的体制机制，扩大服务覆盖面，避免重复建设、低效投资。运用超长期特别国债支持建设的重大设备，要纳入单位统一管理，原则上都要做到开放共享。对外提供开放共享服务，可按照成本补偿和非营利性原则收取服务成本费。</w:t>
      </w:r>
    </w:p>
    <w:p w14:paraId="5BE51362">
      <w:pPr>
        <w:pStyle w:val="9"/>
        <w:suppressAutoHyphens w:val="0"/>
        <w:snapToGrid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（五）加强高效利用。</w:t>
      </w:r>
      <w:r>
        <w:rPr>
          <w:rFonts w:hint="eastAsia" w:ascii="Times New Roman" w:hAnsi="Times New Roman" w:eastAsia="仿宋_GB2312"/>
          <w:sz w:val="32"/>
          <w:szCs w:val="32"/>
        </w:rPr>
        <w:t>鼓励高校建立对接工作机制，将更新提升置换出的旧设备捐赠给经济欠发达地区的高校和中小学，做好设备的拆卸、运输、安装、调试工作，指导接收单位掌握后期运行，提高科研仪器设备周转和利用效率。</w:t>
      </w:r>
    </w:p>
    <w:p w14:paraId="299716EA">
      <w:pPr>
        <w:pStyle w:val="9"/>
        <w:suppressAutoHyphens w:val="0"/>
        <w:snapToGrid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2B85B3B9">
      <w:pPr>
        <w:pStyle w:val="9"/>
        <w:suppressAutoHyphens w:val="0"/>
        <w:snapToGrid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附件：四川省教育领域设备更新首批争取超长期特别国债</w:t>
      </w:r>
    </w:p>
    <w:p w14:paraId="2DBCED8F">
      <w:pPr>
        <w:pStyle w:val="9"/>
        <w:suppressAutoHyphens w:val="0"/>
        <w:snapToGrid/>
        <w:spacing w:line="600" w:lineRule="exact"/>
        <w:ind w:firstLine="1635" w:firstLineChars="511"/>
        <w:jc w:val="both"/>
        <w:rPr>
          <w:rFonts w:hint="eastAsia" w:ascii="仿宋_GB2312" w:eastAsia="仿宋_GB231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重点支持公办高校名单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34DB15-9EDB-4BA2-8C1C-FC429B00A6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76A111-42CF-40DA-855D-6E95EB5430C1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FCC455C-B01C-4D61-BEB1-0C59390DBA4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5DEBC2C-1EA1-4D9E-8386-312AE43FE7DA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81982">
    <w:pPr>
      <w:pStyle w:val="7"/>
      <w:framePr w:wrap="around" w:vAnchor="text" w:hAnchor="margin" w:xAlign="outside" w:y="1"/>
      <w:ind w:left="320" w:leftChars="100"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 w14:paraId="7C45DD1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26147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0D66A10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yYzFjY2UxMWE3MGM2Mzg0ODlmMDM3MWE4MDlmMjQifQ=="/>
    <w:docVar w:name="KGWebUrl" w:val="http://202.61.88.179:80/seeyon/officeservlet"/>
  </w:docVars>
  <w:rsids>
    <w:rsidRoot w:val="006E6A0F"/>
    <w:rsid w:val="000728B6"/>
    <w:rsid w:val="000858EA"/>
    <w:rsid w:val="00091F71"/>
    <w:rsid w:val="000F5DD5"/>
    <w:rsid w:val="0013225D"/>
    <w:rsid w:val="00156719"/>
    <w:rsid w:val="00171CCD"/>
    <w:rsid w:val="00174FBD"/>
    <w:rsid w:val="00196D35"/>
    <w:rsid w:val="00207459"/>
    <w:rsid w:val="002243BF"/>
    <w:rsid w:val="00224E96"/>
    <w:rsid w:val="00256B07"/>
    <w:rsid w:val="00294C8C"/>
    <w:rsid w:val="0029778B"/>
    <w:rsid w:val="003A2A99"/>
    <w:rsid w:val="004029ED"/>
    <w:rsid w:val="00415320"/>
    <w:rsid w:val="0049741B"/>
    <w:rsid w:val="004D6E06"/>
    <w:rsid w:val="005404EB"/>
    <w:rsid w:val="00542CEB"/>
    <w:rsid w:val="0054774E"/>
    <w:rsid w:val="005977DF"/>
    <w:rsid w:val="005C528B"/>
    <w:rsid w:val="005D185A"/>
    <w:rsid w:val="0062127D"/>
    <w:rsid w:val="006E0969"/>
    <w:rsid w:val="006E6A0F"/>
    <w:rsid w:val="007074E0"/>
    <w:rsid w:val="00744D8B"/>
    <w:rsid w:val="007A6C56"/>
    <w:rsid w:val="007B470F"/>
    <w:rsid w:val="007C459E"/>
    <w:rsid w:val="007C4A18"/>
    <w:rsid w:val="008362DE"/>
    <w:rsid w:val="00851015"/>
    <w:rsid w:val="008848D8"/>
    <w:rsid w:val="008A756D"/>
    <w:rsid w:val="008C7011"/>
    <w:rsid w:val="00944B08"/>
    <w:rsid w:val="00A65B10"/>
    <w:rsid w:val="00AD5D6E"/>
    <w:rsid w:val="00B075A3"/>
    <w:rsid w:val="00B54078"/>
    <w:rsid w:val="00B61772"/>
    <w:rsid w:val="00BA39F5"/>
    <w:rsid w:val="00BD1AB6"/>
    <w:rsid w:val="00C23C80"/>
    <w:rsid w:val="00C327EC"/>
    <w:rsid w:val="00C47216"/>
    <w:rsid w:val="00CB3815"/>
    <w:rsid w:val="00E417C6"/>
    <w:rsid w:val="00E66259"/>
    <w:rsid w:val="00F07463"/>
    <w:rsid w:val="00F15D04"/>
    <w:rsid w:val="00F931F6"/>
    <w:rsid w:val="00F95CF9"/>
    <w:rsid w:val="595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suppressAutoHyphens/>
      <w:ind w:left="2940"/>
      <w:jc w:val="center"/>
    </w:pPr>
    <w:rPr>
      <w:rFonts w:ascii="Calibri" w:hAnsi="Calibri" w:eastAsia="宋体"/>
      <w:sz w:val="21"/>
      <w:szCs w:val="24"/>
    </w:rPr>
  </w:style>
  <w:style w:type="paragraph" w:styleId="3">
    <w:name w:val="Salutation"/>
    <w:basedOn w:val="1"/>
    <w:next w:val="1"/>
    <w:link w:val="15"/>
    <w:qFormat/>
    <w:uiPriority w:val="0"/>
    <w:pPr>
      <w:suppressAutoHyphens/>
    </w:pPr>
    <w:rPr>
      <w:rFonts w:ascii="Calibri" w:hAnsi="Calibri" w:eastAsia="宋体"/>
      <w:sz w:val="21"/>
      <w:szCs w:val="24"/>
    </w:rPr>
  </w:style>
  <w:style w:type="paragraph" w:styleId="4">
    <w:name w:val="Body Text"/>
    <w:basedOn w:val="1"/>
    <w:next w:val="1"/>
    <w:link w:val="16"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9">
    <w:name w:val="footnote text"/>
    <w:basedOn w:val="1"/>
    <w:link w:val="17"/>
    <w:unhideWhenUsed/>
    <w:qFormat/>
    <w:uiPriority w:val="99"/>
    <w:pPr>
      <w:suppressAutoHyphens/>
      <w:snapToGrid w:val="0"/>
      <w:jc w:val="left"/>
    </w:pPr>
    <w:rPr>
      <w:rFonts w:ascii="Calibri" w:hAnsi="Calibri" w:eastAsia="宋体"/>
      <w:sz w:val="18"/>
      <w:szCs w:val="18"/>
    </w:rPr>
  </w:style>
  <w:style w:type="character" w:styleId="12">
    <w:name w:val="page number"/>
    <w:uiPriority w:val="99"/>
  </w:style>
  <w:style w:type="character" w:customStyle="1" w:styleId="13">
    <w:name w:val="页眉 Char"/>
    <w:link w:val="8"/>
    <w:qFormat/>
    <w:uiPriority w:val="0"/>
    <w:rPr>
      <w:rFonts w:eastAsia="仿宋_GB2312"/>
      <w:kern w:val="2"/>
      <w:sz w:val="32"/>
      <w:szCs w:val="18"/>
    </w:rPr>
  </w:style>
  <w:style w:type="character" w:customStyle="1" w:styleId="14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称呼 Char"/>
    <w:basedOn w:val="11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正文文本 Char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脚注文本 Char"/>
    <w:basedOn w:val="11"/>
    <w:link w:val="9"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正文文本1"/>
    <w:basedOn w:val="1"/>
    <w:qFormat/>
    <w:uiPriority w:val="0"/>
    <w:pPr>
      <w:shd w:val="clear" w:color="auto" w:fill="FFFFFF"/>
      <w:suppressAutoHyphens/>
      <w:spacing w:line="374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  <w:style w:type="character" w:customStyle="1" w:styleId="19">
    <w:name w:val="日期 Char"/>
    <w:basedOn w:val="11"/>
    <w:link w:val="5"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2956</Words>
  <Characters>3032</Characters>
  <Lines>23</Lines>
  <Paragraphs>6</Paragraphs>
  <TotalTime>13</TotalTime>
  <ScaleCrop>false</ScaleCrop>
  <LinksUpToDate>false</LinksUpToDate>
  <CharactersWithSpaces>3058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2024-07-26T09:51:00Z</dcterms:created>
  <dc:creator>shuibg</dc:creator>
  <cp:lastModifiedBy>Colamilkshake</cp:lastModifiedBy>
  <cp:lastPrinted>2022-01-18T04:50:00Z</cp:lastPrinted>
  <dcterms:modified xsi:type="dcterms:W3CDTF">2024-08-12T02:17:58Z</dcterms:modified>
  <dc:title>四川省教育厅文件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AE9242C3A20341D29B581DABD77CACE7_13</vt:lpwstr>
  </property>
</Properties>
</file>