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color w:val="000000" w:themeColor="text1"/>
        </w:rPr>
      </w:pPr>
      <w:r>
        <w:rPr>
          <w:rFonts w:ascii="黑体" w:hAnsi="黑体" w:eastAsia="黑体"/>
          <w:bCs/>
          <w:color w:val="000000" w:themeColor="text1"/>
        </w:rPr>
        <w:t>附件</w:t>
      </w:r>
      <w:r>
        <w:rPr>
          <w:rFonts w:hint="eastAsia" w:ascii="黑体" w:hAnsi="黑体" w:eastAsia="黑体"/>
          <w:bCs/>
          <w:color w:val="000000" w:themeColor="text1"/>
        </w:rPr>
        <w:t>1</w:t>
      </w:r>
    </w:p>
    <w:p>
      <w:pPr>
        <w:spacing w:line="700" w:lineRule="exact"/>
        <w:jc w:val="center"/>
        <w:rPr>
          <w:rFonts w:ascii="方正小标宋_GBK" w:eastAsia="方正小标宋_GBK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/>
          <w:bCs/>
          <w:color w:val="000000" w:themeColor="text1"/>
          <w:sz w:val="44"/>
          <w:szCs w:val="44"/>
        </w:rPr>
        <w:t>四川省智慧教育示范区创建评价指标</w:t>
      </w:r>
    </w:p>
    <w:p>
      <w:pPr>
        <w:ind w:firstLine="640" w:firstLineChars="200"/>
        <w:rPr>
          <w:bCs/>
          <w:szCs w:val="44"/>
        </w:rPr>
      </w:pPr>
    </w:p>
    <w:tbl>
      <w:tblPr>
        <w:tblStyle w:val="11"/>
        <w:tblW w:w="14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676"/>
        <w:gridCol w:w="5074"/>
        <w:gridCol w:w="735"/>
        <w:gridCol w:w="5130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</w:rPr>
              <w:t>评价项目(A)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</w:rPr>
              <w:t>评价指标(B)</w:t>
            </w:r>
          </w:p>
        </w:tc>
        <w:tc>
          <w:tcPr>
            <w:tcW w:w="507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</w:rPr>
              <w:t>评价要素(C)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873"/>
              </w:tabs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lang w:val="en"/>
              </w:rPr>
              <w:t>单项</w:t>
            </w:r>
          </w:p>
          <w:p>
            <w:pPr>
              <w:tabs>
                <w:tab w:val="left" w:pos="2873"/>
              </w:tabs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:lang w:val="en"/>
              </w:rPr>
              <w:t>分值</w:t>
            </w:r>
          </w:p>
        </w:tc>
        <w:tc>
          <w:tcPr>
            <w:tcW w:w="513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</w:rPr>
              <w:t>评分标准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pStyle w:val="9"/>
              <w:widowControl/>
              <w:tabs>
                <w:tab w:val="clear" w:pos="916"/>
              </w:tabs>
              <w:ind w:hanging="2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1智慧教</w:t>
            </w:r>
          </w:p>
          <w:p>
            <w:pPr>
              <w:pStyle w:val="9"/>
              <w:widowControl/>
              <w:tabs>
                <w:tab w:val="clear" w:pos="916"/>
              </w:tabs>
              <w:ind w:hanging="2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与学</w:t>
            </w:r>
          </w:p>
          <w:p>
            <w:pPr>
              <w:pStyle w:val="9"/>
              <w:widowControl/>
              <w:tabs>
                <w:tab w:val="clear" w:pos="916"/>
              </w:tabs>
              <w:ind w:hanging="2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（18分）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B1模式变革</w:t>
            </w:r>
          </w:p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C1.由区域主导，区域内学校运用数字化手段开展智慧课堂、智慧作业、网络教研等智慧教学融合应用，优化课程设计、改进教学方法。</w:t>
            </w:r>
          </w:p>
        </w:tc>
        <w:tc>
          <w:tcPr>
            <w:tcW w:w="735" w:type="dxa"/>
            <w:vAlign w:val="center"/>
          </w:tcPr>
          <w:p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有5个以上成熟应用场景（每个场景至少在3个以上学校应用），低于5个场景不得分，有5个场景得1分，每增加1个场景加0.25分，上限2分。</w:t>
            </w:r>
          </w:p>
        </w:tc>
        <w:tc>
          <w:tcPr>
            <w:tcW w:w="753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C2.区域构建和完善“线上+线下”课程体系，为师生提供更多的教学手段和学习路径，有效支持“双减”，充实“课后服务”内容和形式。</w:t>
            </w:r>
          </w:p>
        </w:tc>
        <w:tc>
          <w:tcPr>
            <w:tcW w:w="735" w:type="dxa"/>
            <w:vAlign w:val="center"/>
          </w:tcPr>
          <w:p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区域自建有特色化或个性化的网络课程6门以上，支持师生线上线下学习。低于6门课程不得分，6门课程得1分，每增加1门加0.25分，上限2分。</w:t>
            </w:r>
          </w:p>
        </w:tc>
        <w:tc>
          <w:tcPr>
            <w:tcW w:w="753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C3.落实新课程标准要求，开展以学习者为中心的新型教与学模式探索。线上线下教学应用体现出较高水平和效果，并在本区域内开展试点推广。</w:t>
            </w:r>
          </w:p>
        </w:tc>
        <w:tc>
          <w:tcPr>
            <w:tcW w:w="735" w:type="dxa"/>
            <w:vAlign w:val="center"/>
          </w:tcPr>
          <w:p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区域开展以学习者为中心的新型教与学模式探索，市级以上教研成果（创新案例）5件以上，每件成果（案例）至少在3个以上学校应用。低于5件不得分，5件得1分，每增加1件加0.25分，上限2分。</w:t>
            </w:r>
          </w:p>
        </w:tc>
        <w:tc>
          <w:tcPr>
            <w:tcW w:w="753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B2教学评价</w:t>
            </w:r>
          </w:p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 xml:space="preserve">C4.区域实现教学评价数字化，能够发挥信息技术支撑教学评价的引导、诊断、改进与激励作用，提升区域教育质量精准评估、动态监测能力。 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区域有可用的数字化教学评价应用平台，且至少在5所以上学校试点，取得良好成效。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pStyle w:val="20"/>
              <w:spacing w:after="0" w:line="240" w:lineRule="auto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C5.规范采集教师动态数据，形成师德师风、教学业绩、专业发展等教师数字化档案，有效支撑教师管理和评价。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有数字化教师评价体系，并在区域内广泛开展应用。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C6.积极构建学生德智体美劳评价体系，规范采集学生数据，对学生的思想品德、学业水平、兴趣特长等进行综合评估。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区域开展信息技术支撑的学生综合素质评价，并在区域学校内试点应用。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pStyle w:val="9"/>
              <w:widowControl/>
              <w:tabs>
                <w:tab w:val="clear" w:pos="916"/>
              </w:tabs>
              <w:ind w:hanging="2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1智慧教</w:t>
            </w:r>
          </w:p>
          <w:p>
            <w:pPr>
              <w:pStyle w:val="9"/>
              <w:widowControl/>
              <w:tabs>
                <w:tab w:val="clear" w:pos="916"/>
              </w:tabs>
              <w:ind w:hanging="2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与学</w:t>
            </w:r>
          </w:p>
          <w:p>
            <w:pPr>
              <w:pStyle w:val="9"/>
              <w:widowControl/>
              <w:tabs>
                <w:tab w:val="clear" w:pos="916"/>
              </w:tabs>
              <w:ind w:hanging="2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（18分）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B3应用研究</w:t>
            </w:r>
          </w:p>
          <w:p>
            <w:pPr>
              <w:ind w:hanging="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C7.区域常态化开展教师网络研修，强化教学案例展示和研讨交流。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区域有可用的网络研修平台，并形成常态化网络研修机制。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C8.以区域为单位积极参与数字教育应用创新改革课题研究，研究方向具有前瞻性和引领性，研究成果具有示范性和推广性。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近3年，区域为单位开展信息技术类课题省级0.5分，国家级1分；结题获得优秀等级或课题获奖上浮50%，按课题数量累加，最高不超过4分。（信息技术类课题包括国家、省教育信息化业务部门和教研部门的立项课题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2资源供给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（18分）</w:t>
            </w:r>
          </w:p>
        </w:tc>
        <w:tc>
          <w:tcPr>
            <w:tcW w:w="1676" w:type="dxa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B4资源应用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C9.积极利用国家、省、市智慧教育平台优质资源开展自主学习、教师备课、双师课堂、作业活动、答疑辅导、课后服务、教师研修、家校交流、区域管理相关应用，案例丰富。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区域组织团队开展国家、省、市智慧教育平台优质资源推广应用（2分）；典型案例获奖或推广，市级（0.5分）、省级（1分）国家级（1.5分）（案例获奖可累加不超过4分，同一案例获奖只认定最高级）。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B5资源共享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C10.区域内“四川云教”优质资源辐射影响作用强，主播学校常态化、体系化向省内其他学校提供优质教育资源，并获得认可和好评。接收学校积极主动接受主播学校的课程资源和教学帮扶。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区域支持和指导学校用好“四川云教”（1分）；区域内主播学校和接收学校在省级年度考核中被评为优秀，1所优秀得1分，最高不超过2分。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C11.区域内利用“三个课堂”等形式构建区际、校际发展共同体，为服务“双减”、终身学习、乡村振兴、民族发展等方面发挥重要作用，推动教育优质均衡。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构建了“互联网+”教育发展共同体（2分）；促进教育优质均衡方面有明显成效（1分）。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B6资源建设</w:t>
            </w:r>
          </w:p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C12.建有数字资源建设激励机制，推动区域名师、名校建设体系化优质数字资源。每年向上级提供优质资源，组织开展精品课遴选、作业设计、网上名师工作室建设等活动，成效突出。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建有数字资源激励机制（1分）；国家、省、市平台上推送资源采纳利用60节以上（3分）；区域参加精品课遴选、作业设计等活动，参与率60%以上，并有省部级获奖作品（2分）。 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3数字素养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（18分）</w:t>
            </w:r>
          </w:p>
        </w:tc>
        <w:tc>
          <w:tcPr>
            <w:tcW w:w="1676" w:type="dxa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B7干部队伍</w:t>
            </w:r>
          </w:p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素养</w:t>
            </w:r>
          </w:p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（4分）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C13.相关干部队伍具备开展工作的数字素养和技能水平，积极参加教育数字化相关培训。多样化开展管理者数字化领导力培训。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干部队伍数字素养和技能水平纳入干部考察考核内容（2分）；相关干部每两年轮训一遍（2分）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B8教师素养</w:t>
            </w:r>
          </w:p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（8分）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C14.明确将教师数字素养作为推动区域教师专业发展的重要维度，激励保障措施充分到位。周期性、多样化开展教师数字化教学能力和管理者数字化领导力培训。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具有重视教师数字素养提升的政策制度保障（1分）；激励措施明确（1分）；提升路径和活动开展丰富有效（2分）。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C15.区域教师参加信息技术应用能力提升培训，且合格率高。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教师信息技术应用能力提升区域合格率95%以上。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C16.开展智慧教育种子教师培育工作，种子骨干教师在智慧教育推进工作、经验推广、理念引领等方面成果成效显著。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种子教师培育落实（1分）；骨干教师引领示范（1分）。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B9学生素养</w:t>
            </w:r>
          </w:p>
          <w:p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C17.区域注重培养学生适应数字时代的学习素养。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学生具备通过信息技术手段开展学习活动的能力，信息科技课程实施质量高。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C18.区域注重培养学生具备学科知识跨界融合能力、沟通与协作精神、批判性思维、复杂问题研究解决、团队合作意识、创意与创新性、计算思维。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区域学校开展多种形式的融合教育，学生广泛参与，学校和学生参与率在50%以上。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ind w:hanging="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C19.区域学生信息科技活动积极踊跃、成果丰厚。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学生团队获省级奖励每项加0.1分，获全国奖励每项加0.2分，同一奖项只认定最高级，上限2分。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4教育治理</w:t>
            </w:r>
          </w:p>
          <w:p>
            <w:pPr>
              <w:pStyle w:val="9"/>
              <w:widowControl/>
              <w:tabs>
                <w:tab w:val="clear" w:pos="916"/>
              </w:tabs>
              <w:ind w:hanging="2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（18分）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B10数据管理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20.区域建有较为完善、标准统一的学校及师生基础数据库；常态运用全国教师管理信息系统、全国教育信息化工作管理系统、学校地理信息GIS系统等教育信息化相关国省系统（另附清单），保持系统数据完整完善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基础数据库（2分）；满足教育信息化相关国垂和省建系统数据的更新率和准确率要求（此项4分，按系统运用达标比例得分）。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A</w:t>
            </w:r>
            <w:r>
              <w:rPr>
                <w:rFonts w:hint="eastAsia"/>
                <w:color w:val="000000"/>
                <w:sz w:val="22"/>
                <w:szCs w:val="22"/>
              </w:rPr>
              <w:t>4教育治理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（18分）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B11数据赋能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8"/>
                <w:sz w:val="22"/>
                <w:szCs w:val="22"/>
              </w:rPr>
              <w:t>C21.利用数据对区域学校布局、学位分配、资产调配、教师发展、学生发展等情况进行辅助研判、政策制定和教育教学管理，构建能够支撑科学精准决策、高效治理和优质便捷服务的教育治理新模式。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利用平台和数据开展数据治理探索（2分），区域主导，数据辅助研判和管理的场景和模式每个1分，累计不超过4分。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B12政务服务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（6分）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C22.推进“互联网+政务服务”，提升区域教育政务服务数据共享能力，做好区域内教育事项“一网通办”“一件事一次办”，更好地满足群众办事需求。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 w:cs="仿宋_GB2312"/>
                <w:color w:val="000000" w:themeColor="text1"/>
                <w:sz w:val="22"/>
                <w:szCs w:val="22"/>
              </w:rPr>
              <w:t>教育行政权力和公共服务事项在省一体化平台上实现“一网通办”的，每个0.2分，累计不超过4分；</w:t>
            </w:r>
            <w:r>
              <w:rPr>
                <w:rFonts w:hint="eastAsia" w:cs="仿宋_GB2312"/>
                <w:bCs/>
                <w:sz w:val="22"/>
                <w:szCs w:val="22"/>
              </w:rPr>
              <w:t>使用“四川省基础教育招生升学综合管理信息系统”实现</w:t>
            </w:r>
            <w:r>
              <w:rPr>
                <w:rFonts w:hint="eastAsia" w:cs="仿宋_GB2312"/>
                <w:color w:val="000000" w:themeColor="text1"/>
                <w:sz w:val="22"/>
                <w:szCs w:val="22"/>
              </w:rPr>
              <w:t>义务教育阶段新生入学</w:t>
            </w:r>
            <w:r>
              <w:rPr>
                <w:rFonts w:hint="eastAsia" w:cs="仿宋_GB2312"/>
                <w:bCs/>
                <w:sz w:val="22"/>
                <w:szCs w:val="22"/>
              </w:rPr>
              <w:t>“一件事一次办”的，2分</w:t>
            </w:r>
            <w:r>
              <w:rPr>
                <w:rFonts w:hint="eastAsia" w:cs="仿宋_GB2312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5环境支撑</w:t>
            </w:r>
          </w:p>
          <w:p>
            <w:pPr>
              <w:pStyle w:val="9"/>
              <w:widowControl/>
              <w:tabs>
                <w:tab w:val="clear" w:pos="916"/>
              </w:tabs>
              <w:ind w:hanging="2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（18分）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B13网络环境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（3分）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C23.推进教育云网边端一体化建设，促进校园有线、无线、物联网三网融合。区域网络全面支持ipv6协议，可管可控、绿色安全，能够满足学校使用需求。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建成千兆光纤到校、百兆到端的高速校园网络（1分），区域学校有线、无线网络覆盖率100%（1分），有可用安全的教育云（1分）。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B14平台应用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"/>
              </w:rPr>
              <w:t>2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C24.区域有可用的数据和资源管理平台</w:t>
            </w:r>
            <w:r>
              <w:rPr>
                <w:rFonts w:hint="eastAsia"/>
                <w:color w:val="000000" w:themeColor="text1"/>
                <w:sz w:val="22"/>
                <w:szCs w:val="22"/>
                <w:lang w:val="en"/>
              </w:rPr>
              <w:t>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val="en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有数据资源平台。</w:t>
            </w:r>
          </w:p>
        </w:tc>
        <w:tc>
          <w:tcPr>
            <w:tcW w:w="753" w:type="dxa"/>
            <w:vAlign w:val="center"/>
          </w:tcPr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必要</w:t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B15学习空间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（8分）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C25.区域常态运用好国家、省智慧教育平台为学生、教师、班级、学校搭建网络学习空间，活跃度高。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区域学校100%和教师90%以上、学生及家长50%以上在国家、省智慧教育平台注册（2分），每百人平均浏览量排名全省前列（2分）。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C26.班级交互式多媒体配备覆盖率达100%。各学段学生用计算机满足信息科技课程、创新教育及跨学科教学等实践需要。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班级交互式多媒体配备覆盖率达100%（1分）；每百名学生拥有计算机台数达到学段标准要求（1分）。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C27.区域内建有一定数量的学科专用教室、数字化探究实验室、创客教室、STEAM教室等可支持学生智慧学习的物理空间。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  <w:lang w:val="e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val="en"/>
              </w:rPr>
              <w:t>有区域主导建设的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学生智慧学习的物理空间，且覆盖学校比例不低于30%。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B16信息安全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lang w:val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（5分）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C28.强化网络和数据安全管理，落实网络安全等级保护和个人信息保护制度，建立培训宣传制度，教育信息化技术部门具备安全技术防范措施与处置能力。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制度完备（1分）；有等级保护（1分）；开展教育培训活动（1分）；风险漏洞处置及时（2分）。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Times New Roman" w:hAnsi="Times New Roman" w:eastAsia="仿宋_GB2312"/>
                <w:color w:val="000000" w:themeColor="text1"/>
                <w:kern w:val="2"/>
                <w:sz w:val="22"/>
                <w:szCs w:val="22"/>
              </w:rPr>
              <w:t>6机制保障</w:t>
            </w:r>
          </w:p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（10分）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B17规划制定</w:t>
            </w:r>
          </w:p>
          <w:p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（2分）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C29.坚持育人为本，科学制定区域智慧教育发展规划，将其作为开辟教育发展新赛道和塑造教育发展新优势的重要突破口。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制定有区域智慧教育发展规划和年度计划，并已实施一年以上。</w:t>
            </w:r>
          </w:p>
        </w:tc>
        <w:tc>
          <w:tcPr>
            <w:tcW w:w="753" w:type="dxa"/>
            <w:vAlign w:val="center"/>
          </w:tcPr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必要</w:t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C30.发展规划科学合理、切实可行，与智慧城市、区域发展、教育数字化总体任务密切融合、相互支撑。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规划科学合理、切实可行，与区域发展一体推进。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B18组织保障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（3分）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C31.全面落实教育信息化和网络安全工作责任制，将智慧教育工作列入县（市、区）党委或政府工作计划，纳入教育行政部门重点工作。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区域落实“一把手”责任制（1分）；纳入重点工作（1分）。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必要</w:t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C32.定期研究区域智慧教育或教育数字化有关工作，定期开展对示范区创建工作的评价和评估。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区域每年研究智慧教育或教育数字化有关工作，开展示范区创建工作的督导和评估。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B19机构保障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（2分）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C33.有教育数字化工作专门机构，区域建立示范区建设工作推进机构。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有专项推进工作机构，工作职责明确。</w:t>
            </w:r>
          </w:p>
        </w:tc>
        <w:tc>
          <w:tcPr>
            <w:tcW w:w="753" w:type="dxa"/>
            <w:vAlign w:val="center"/>
          </w:tcPr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必要</w:t>
            </w:r>
          </w:p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C34.有专门工作力量（包括专家团队、管理团队、技术团队等）负责智慧教育示范区创建工作。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专兼职工作人员齐备，并具有相应的专业技术能力</w:t>
            </w:r>
          </w:p>
        </w:tc>
        <w:tc>
          <w:tcPr>
            <w:tcW w:w="753" w:type="dxa"/>
            <w:vAlign w:val="center"/>
          </w:tcPr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B20经费保障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（3分）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C35.经费投入机制完善，有“智慧教育示范区”专项建设资金和每年持续开展工作的保障经费。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区域有“智慧教育示范区”专项建设经费保障。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C36.落实国家关于生均公用经费可用于购买信息化资源和服务的政策。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生均公用经费用于教育信息化服务。</w:t>
            </w:r>
          </w:p>
        </w:tc>
        <w:tc>
          <w:tcPr>
            <w:tcW w:w="753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7示范引领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（20分）</w:t>
            </w:r>
          </w:p>
        </w:tc>
        <w:tc>
          <w:tcPr>
            <w:tcW w:w="1676" w:type="dxa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B21特色亮点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（10分）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37.区域发展特色明显，示范引领作用突出。区域结合本地区教育发展基础、实际需求和优势特点，在智慧教与学模式创新、创新人才培养、教育评价改革、智慧教育环境支持、智慧教育资源供给、教育综合治理改革、落实“双减”、促进五育融合发展等一个或多个方面有实践和创新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实践和创新成果显著，每有1项市级以上试点或示范加1分（省级2分、全国3分，同一项目只认定最高级），上限10分。</w:t>
            </w:r>
          </w:p>
        </w:tc>
        <w:tc>
          <w:tcPr>
            <w:tcW w:w="753" w:type="dxa"/>
            <w:vAlign w:val="center"/>
          </w:tcPr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</w:p>
        </w:tc>
        <w:tc>
          <w:tcPr>
            <w:tcW w:w="1676" w:type="dxa"/>
            <w:vAlign w:val="center"/>
          </w:tcPr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B22发展愿景</w:t>
            </w:r>
          </w:p>
          <w:p>
            <w:pPr>
              <w:pStyle w:val="9"/>
              <w:widowControl/>
              <w:jc w:val="center"/>
              <w:rPr>
                <w:rFonts w:hint="default" w:ascii="Times New Roman" w:hAnsi="Times New Roman" w:eastAsia="仿宋_GB2312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2"/>
              </w:rPr>
              <w:t>（10分）</w:t>
            </w:r>
          </w:p>
        </w:tc>
        <w:tc>
          <w:tcPr>
            <w:tcW w:w="5074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C38.区域结合已有创建基础和示范特色，从机制保障、推进路径、示范重点、工作举措、计划安排等方面予以系统谋划未来三年的可持续发展设计蓝图。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30" w:type="dxa"/>
            <w:vAlign w:val="center"/>
          </w:tcPr>
          <w:p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发展蓝图务实细致，可执行性强，亮点突出（创建阶段由评审组评定得分；验收阶段根据完成情况打分，不超过创建评定分）。</w:t>
            </w:r>
          </w:p>
        </w:tc>
        <w:tc>
          <w:tcPr>
            <w:tcW w:w="753" w:type="dxa"/>
            <w:vAlign w:val="center"/>
          </w:tcPr>
          <w:p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bCs/>
          <w:sz w:val="22"/>
          <w:szCs w:val="22"/>
        </w:rPr>
      </w:pPr>
      <w:r>
        <w:rPr>
          <w:bCs/>
          <w:sz w:val="22"/>
          <w:szCs w:val="22"/>
        </w:rPr>
        <w:t>注：1</w:t>
      </w:r>
      <w:r>
        <w:rPr>
          <w:rFonts w:hint="eastAsia"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A1-A6为基本任务部分，评价指标B1-B20共20项，主要评估示范区域的基本条件。A7为示范引领部分，评价指标B21-B22，主要是鼓励每一个示范区都有结合本地实践的创新应用，全省不搞“一刀切”。</w:t>
      </w:r>
    </w:p>
    <w:p>
      <w:pPr>
        <w:spacing w:line="400" w:lineRule="exact"/>
        <w:ind w:firstLine="440" w:firstLineChars="20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2</w:t>
      </w:r>
      <w:r>
        <w:rPr>
          <w:bCs/>
          <w:sz w:val="22"/>
          <w:szCs w:val="22"/>
        </w:rPr>
        <w:t>.评价指标总分为120分，基本任务部分100分、示范引领部分20分。</w:t>
      </w:r>
    </w:p>
    <w:p>
      <w:pPr>
        <w:spacing w:line="400" w:lineRule="exact"/>
        <w:ind w:firstLine="440" w:firstLineChars="200"/>
        <w:rPr>
          <w:bCs/>
          <w:sz w:val="22"/>
          <w:szCs w:val="22"/>
        </w:rPr>
      </w:pPr>
      <w:r>
        <w:rPr>
          <w:bCs/>
          <w:sz w:val="22"/>
          <w:szCs w:val="22"/>
        </w:rPr>
        <w:t>3.建设周期结束，按照评价指标再次评估区域得分，得分达到100分以上，建成智慧教育示范学校1所以上且现场调研抽检学校得分不低于60的，授牌省级智慧教育示范区（学校）。</w:t>
      </w:r>
    </w:p>
    <w:p>
      <w:pPr>
        <w:spacing w:line="400" w:lineRule="exact"/>
        <w:ind w:firstLine="440" w:firstLineChars="200"/>
      </w:pPr>
      <w:r>
        <w:rPr>
          <w:rFonts w:hint="eastAsia"/>
          <w:bCs/>
          <w:sz w:val="22"/>
          <w:szCs w:val="22"/>
        </w:rPr>
        <w:t>4</w:t>
      </w:r>
      <w:r>
        <w:rPr>
          <w:bCs/>
          <w:sz w:val="22"/>
          <w:szCs w:val="22"/>
        </w:rPr>
        <w:t>.按照基础教育学校布局调整，建设周期内拟撤销的学校可不纳入数据统计范围。</w:t>
      </w:r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88" w:right="2098" w:bottom="1474" w:left="1985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18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  <w:docVar w:name="KGWebUrl" w:val="http://202.61.88.179:80/seeyon/officeservlet"/>
  </w:docVars>
  <w:rsids>
    <w:rsidRoot w:val="00937662"/>
    <w:rsid w:val="0002581B"/>
    <w:rsid w:val="000470F3"/>
    <w:rsid w:val="00077BDD"/>
    <w:rsid w:val="0008371E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B4646"/>
    <w:rsid w:val="002D74AF"/>
    <w:rsid w:val="002E11A0"/>
    <w:rsid w:val="003070AA"/>
    <w:rsid w:val="003C170C"/>
    <w:rsid w:val="003E6029"/>
    <w:rsid w:val="0040328D"/>
    <w:rsid w:val="00403CE4"/>
    <w:rsid w:val="00473740"/>
    <w:rsid w:val="004847CB"/>
    <w:rsid w:val="00502423"/>
    <w:rsid w:val="005632C2"/>
    <w:rsid w:val="005C0E67"/>
    <w:rsid w:val="005D7D66"/>
    <w:rsid w:val="005E09C0"/>
    <w:rsid w:val="005F386C"/>
    <w:rsid w:val="005F6309"/>
    <w:rsid w:val="00672EC0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91571"/>
    <w:rsid w:val="00CC620F"/>
    <w:rsid w:val="00E14BFD"/>
    <w:rsid w:val="00E24058"/>
    <w:rsid w:val="00EA3157"/>
    <w:rsid w:val="00EC2A23"/>
    <w:rsid w:val="00EC6806"/>
    <w:rsid w:val="00EC7462"/>
    <w:rsid w:val="00F33046"/>
    <w:rsid w:val="00FA7EEC"/>
    <w:rsid w:val="00FD225D"/>
    <w:rsid w:val="00FF25F0"/>
    <w:rsid w:val="6B58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Body Text"/>
    <w:basedOn w:val="1"/>
    <w:next w:val="1"/>
    <w:link w:val="21"/>
    <w:qFormat/>
    <w:uiPriority w:val="0"/>
    <w:pPr>
      <w:spacing w:after="140" w:line="276" w:lineRule="auto"/>
    </w:pPr>
    <w:rPr>
      <w:rFonts w:ascii="Calibri" w:hAnsi="Calibri"/>
      <w:szCs w:val="22"/>
    </w:rPr>
  </w:style>
  <w:style w:type="paragraph" w:styleId="5">
    <w:name w:val="Date"/>
    <w:basedOn w:val="1"/>
    <w:next w:val="1"/>
    <w:link w:val="22"/>
    <w:unhideWhenUsed/>
    <w:qFormat/>
    <w:uiPriority w:val="99"/>
    <w:pPr>
      <w:ind w:left="100" w:leftChars="2500"/>
    </w:pPr>
    <w:rPr>
      <w:rFonts w:ascii="Calibri" w:hAnsi="Calibri"/>
      <w:szCs w:val="22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22"/>
    <w:rPr>
      <w:b/>
    </w:rPr>
  </w:style>
  <w:style w:type="character" w:styleId="15">
    <w:name w:val="page number"/>
    <w:qFormat/>
    <w:uiPriority w:val="99"/>
  </w:style>
  <w:style w:type="character" w:customStyle="1" w:styleId="16">
    <w:name w:val="页眉 Char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批注框文本 Char"/>
    <w:link w:val="6"/>
    <w:uiPriority w:val="0"/>
    <w:rPr>
      <w:rFonts w:eastAsia="仿宋_GB2312"/>
      <w:kern w:val="2"/>
      <w:sz w:val="18"/>
      <w:szCs w:val="18"/>
    </w:rPr>
  </w:style>
  <w:style w:type="character" w:customStyle="1" w:styleId="19">
    <w:name w:val="标题 1 Char"/>
    <w:basedOn w:val="13"/>
    <w:link w:val="2"/>
    <w:uiPriority w:val="9"/>
    <w:rPr>
      <w:rFonts w:ascii="宋体" w:hAnsi="宋体"/>
      <w:b/>
      <w:kern w:val="44"/>
      <w:sz w:val="48"/>
      <w:szCs w:val="48"/>
    </w:rPr>
  </w:style>
  <w:style w:type="paragraph" w:customStyle="1" w:styleId="20">
    <w:name w:val="正文文本首行缩进1"/>
    <w:basedOn w:val="4"/>
    <w:qFormat/>
    <w:uiPriority w:val="0"/>
  </w:style>
  <w:style w:type="character" w:customStyle="1" w:styleId="21">
    <w:name w:val="正文文本 Char"/>
    <w:basedOn w:val="13"/>
    <w:link w:val="4"/>
    <w:uiPriority w:val="0"/>
    <w:rPr>
      <w:rFonts w:ascii="Calibri" w:hAnsi="Calibri" w:eastAsia="仿宋_GB2312"/>
      <w:kern w:val="2"/>
      <w:sz w:val="32"/>
      <w:szCs w:val="22"/>
    </w:rPr>
  </w:style>
  <w:style w:type="character" w:customStyle="1" w:styleId="22">
    <w:name w:val="日期 Char"/>
    <w:basedOn w:val="13"/>
    <w:link w:val="5"/>
    <w:qFormat/>
    <w:uiPriority w:val="99"/>
    <w:rPr>
      <w:rFonts w:ascii="Calibri" w:hAnsi="Calibri" w:eastAsia="仿宋_GB2312"/>
      <w:kern w:val="2"/>
      <w:sz w:val="32"/>
      <w:szCs w:val="22"/>
    </w:rPr>
  </w:style>
  <w:style w:type="character" w:customStyle="1" w:styleId="23">
    <w:name w:val="HTML 预设格式 Char"/>
    <w:basedOn w:val="13"/>
    <w:link w:val="9"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4</Pages>
  <Words>1769</Words>
  <Characters>10086</Characters>
  <Lines>84</Lines>
  <Paragraphs>23</Paragraphs>
  <TotalTime>0</TotalTime>
  <ScaleCrop>false</ScaleCrop>
  <LinksUpToDate>false</LinksUpToDate>
  <CharactersWithSpaces>11832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shuibg</dc:creator>
  <cp:lastModifiedBy>hqz</cp:lastModifiedBy>
  <cp:lastPrinted>2022-08-04T02:19:00Z</cp:lastPrinted>
  <dcterms:modified xsi:type="dcterms:W3CDTF">2023-10-23T09:31:22Z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F70C5DE43E1F4E2690A5018417EF73BB_13</vt:lpwstr>
  </property>
</Properties>
</file>