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bCs/>
          <w:color w:val="000000" w:themeColor="text1"/>
        </w:rPr>
      </w:pPr>
      <w:r>
        <w:rPr>
          <w:rFonts w:ascii="黑体" w:hAnsi="黑体" w:eastAsia="黑体"/>
          <w:bCs/>
          <w:color w:val="000000" w:themeColor="text1"/>
        </w:rPr>
        <w:t>附件</w:t>
      </w:r>
      <w:r>
        <w:rPr>
          <w:rFonts w:hint="eastAsia" w:ascii="黑体" w:hAnsi="黑体" w:eastAsia="黑体"/>
          <w:bCs/>
          <w:color w:val="000000" w:themeColor="text1"/>
        </w:rPr>
        <w:t>2</w:t>
      </w:r>
    </w:p>
    <w:p>
      <w:pPr>
        <w:pStyle w:val="20"/>
        <w:spacing w:after="0" w:line="700" w:lineRule="exact"/>
        <w:jc w:val="center"/>
        <w:rPr>
          <w:rFonts w:ascii="方正小标宋_GBK" w:hAnsi="Times New Roman" w:eastAsia="方正小标宋_GBK"/>
          <w:bCs/>
          <w:color w:val="000000" w:themeColor="text1"/>
          <w:sz w:val="44"/>
          <w:szCs w:val="44"/>
        </w:rPr>
      </w:pPr>
      <w:r>
        <w:rPr>
          <w:rFonts w:ascii="方正小标宋_GBK" w:hAnsi="Times New Roman" w:eastAsia="方正小标宋_GBK"/>
          <w:bCs/>
          <w:color w:val="000000" w:themeColor="text1"/>
          <w:sz w:val="44"/>
          <w:szCs w:val="44"/>
        </w:rPr>
        <w:t>四川省智慧教育示范</w:t>
      </w:r>
      <w:r>
        <w:rPr>
          <w:rFonts w:hint="eastAsia" w:ascii="方正小标宋_GBK" w:hAnsi="Times New Roman" w:eastAsia="方正小标宋_GBK"/>
          <w:bCs/>
          <w:color w:val="000000" w:themeColor="text1"/>
          <w:sz w:val="44"/>
          <w:szCs w:val="44"/>
        </w:rPr>
        <w:t>学校</w:t>
      </w:r>
      <w:r>
        <w:rPr>
          <w:rFonts w:ascii="方正小标宋_GBK" w:hAnsi="Times New Roman" w:eastAsia="方正小标宋_GBK"/>
          <w:bCs/>
          <w:color w:val="000000" w:themeColor="text1"/>
          <w:sz w:val="44"/>
          <w:szCs w:val="44"/>
        </w:rPr>
        <w:t>创建评价指标</w:t>
      </w:r>
    </w:p>
    <w:p>
      <w:pPr>
        <w:pStyle w:val="20"/>
        <w:spacing w:after="0" w:line="240" w:lineRule="auto"/>
        <w:ind w:firstLine="640" w:firstLineChars="200"/>
        <w:rPr>
          <w:rFonts w:ascii="Times New Roman" w:hAnsi="Times New Roman"/>
          <w:bCs/>
          <w:szCs w:val="44"/>
        </w:rPr>
      </w:pPr>
    </w:p>
    <w:tbl>
      <w:tblPr>
        <w:tblStyle w:val="11"/>
        <w:tblW w:w="14599" w:type="dxa"/>
        <w:jc w:val="center"/>
        <w:tblLayout w:type="fixed"/>
        <w:tblCellMar>
          <w:top w:w="0" w:type="dxa"/>
          <w:left w:w="108" w:type="dxa"/>
          <w:bottom w:w="0" w:type="dxa"/>
          <w:right w:w="108" w:type="dxa"/>
        </w:tblCellMar>
      </w:tblPr>
      <w:tblGrid>
        <w:gridCol w:w="1605"/>
        <w:gridCol w:w="1660"/>
        <w:gridCol w:w="4626"/>
        <w:gridCol w:w="706"/>
        <w:gridCol w:w="5153"/>
        <w:gridCol w:w="849"/>
      </w:tblGrid>
      <w:tr>
        <w:tblPrEx>
          <w:tblCellMar>
            <w:top w:w="0" w:type="dxa"/>
            <w:left w:w="108" w:type="dxa"/>
            <w:bottom w:w="0" w:type="dxa"/>
            <w:right w:w="108" w:type="dxa"/>
          </w:tblCellMar>
        </w:tblPrEx>
        <w:trPr>
          <w:trHeight w:val="602" w:hRule="atLeast"/>
          <w:tblHeader/>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000000" w:themeColor="text1"/>
                <w:sz w:val="22"/>
                <w:szCs w:val="22"/>
              </w:rPr>
            </w:pPr>
            <w:r>
              <w:rPr>
                <w:rFonts w:hint="eastAsia" w:ascii="黑体" w:hAnsi="黑体" w:eastAsia="黑体"/>
                <w:color w:val="000000" w:themeColor="text1"/>
                <w:sz w:val="22"/>
                <w:szCs w:val="22"/>
              </w:rPr>
              <w:t>评价项目（A）</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000000" w:themeColor="text1"/>
                <w:sz w:val="22"/>
                <w:szCs w:val="22"/>
              </w:rPr>
            </w:pPr>
            <w:r>
              <w:rPr>
                <w:rFonts w:hint="eastAsia" w:ascii="黑体" w:hAnsi="黑体" w:eastAsia="黑体"/>
                <w:color w:val="000000" w:themeColor="text1"/>
                <w:sz w:val="22"/>
                <w:szCs w:val="22"/>
              </w:rPr>
              <w:t>评价指标（B）</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000000" w:themeColor="text1"/>
                <w:sz w:val="22"/>
                <w:szCs w:val="22"/>
              </w:rPr>
            </w:pPr>
            <w:r>
              <w:rPr>
                <w:rFonts w:hint="eastAsia" w:ascii="黑体" w:hAnsi="黑体" w:eastAsia="黑体"/>
                <w:color w:val="000000" w:themeColor="text1"/>
                <w:sz w:val="22"/>
                <w:szCs w:val="22"/>
              </w:rPr>
              <w:t>评价要素（C）</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000000" w:themeColor="text1"/>
                <w:sz w:val="22"/>
                <w:szCs w:val="22"/>
              </w:rPr>
            </w:pPr>
            <w:r>
              <w:rPr>
                <w:rFonts w:hint="eastAsia" w:ascii="黑体" w:hAnsi="黑体" w:eastAsia="黑体"/>
                <w:color w:val="000000" w:themeColor="text1"/>
                <w:sz w:val="22"/>
                <w:szCs w:val="22"/>
              </w:rPr>
              <w:t>分值</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000000" w:themeColor="text1"/>
                <w:sz w:val="22"/>
                <w:szCs w:val="22"/>
              </w:rPr>
            </w:pPr>
            <w:r>
              <w:rPr>
                <w:rFonts w:hint="eastAsia" w:ascii="黑体" w:hAnsi="黑体" w:eastAsia="黑体"/>
                <w:color w:val="000000" w:themeColor="text1"/>
                <w:sz w:val="22"/>
                <w:szCs w:val="22"/>
              </w:rPr>
              <w:t>评分标准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000000" w:themeColor="text1"/>
                <w:sz w:val="22"/>
                <w:szCs w:val="22"/>
              </w:rPr>
            </w:pPr>
            <w:r>
              <w:rPr>
                <w:rFonts w:hint="eastAsia" w:ascii="黑体" w:hAnsi="黑体" w:eastAsia="黑体"/>
                <w:color w:val="000000" w:themeColor="text1"/>
                <w:sz w:val="22"/>
                <w:szCs w:val="22"/>
              </w:rPr>
              <w:t>备注</w:t>
            </w:r>
          </w:p>
        </w:tc>
      </w:tr>
      <w:tr>
        <w:tblPrEx>
          <w:tblCellMar>
            <w:top w:w="0" w:type="dxa"/>
            <w:left w:w="108" w:type="dxa"/>
            <w:bottom w:w="0" w:type="dxa"/>
            <w:right w:w="108" w:type="dxa"/>
          </w:tblCellMar>
        </w:tblPrEx>
        <w:trPr>
          <w:trHeight w:val="850" w:hRule="atLeast"/>
          <w:jc w:val="center"/>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A1组织保障</w:t>
            </w:r>
          </w:p>
          <w:p>
            <w:pPr>
              <w:jc w:val="center"/>
              <w:rPr>
                <w:color w:val="000000" w:themeColor="text1"/>
                <w:sz w:val="22"/>
                <w:szCs w:val="22"/>
              </w:rPr>
            </w:pPr>
            <w:r>
              <w:rPr>
                <w:rFonts w:hint="eastAsia"/>
                <w:color w:val="000000" w:themeColor="text1"/>
                <w:sz w:val="22"/>
                <w:szCs w:val="22"/>
              </w:rPr>
              <w:t>（12分）</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B1规划设计</w:t>
            </w:r>
            <w:r>
              <w:rPr>
                <w:rFonts w:hint="eastAsia"/>
                <w:color w:val="000000" w:themeColor="text1"/>
                <w:sz w:val="22"/>
                <w:szCs w:val="22"/>
              </w:rPr>
              <w:br w:type="textWrapping"/>
            </w:r>
            <w:r>
              <w:rPr>
                <w:rFonts w:hint="eastAsia"/>
                <w:color w:val="000000" w:themeColor="text1"/>
                <w:sz w:val="22"/>
                <w:szCs w:val="22"/>
              </w:rPr>
              <w:t>（2分）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C1.科学制定学校智慧教育发展规划，并已启动实施。</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科学制定发展规划得0.5分，已实施一年以上得0.5分。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850"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C2.年度实施方案目标明确、科学合理，效果明显。</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有年度实施方案得0.5分，按方案推进实施得0.5分。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156"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B2组织架构</w:t>
            </w:r>
            <w:r>
              <w:rPr>
                <w:rFonts w:hint="eastAsia"/>
                <w:color w:val="000000" w:themeColor="text1"/>
                <w:sz w:val="22"/>
                <w:szCs w:val="22"/>
              </w:rPr>
              <w:br w:type="textWrapping"/>
            </w:r>
            <w:r>
              <w:rPr>
                <w:rFonts w:hint="eastAsia"/>
                <w:color w:val="000000" w:themeColor="text1"/>
                <w:sz w:val="22"/>
                <w:szCs w:val="22"/>
              </w:rPr>
              <w:t>（2分）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C3.成立学校教育数字化领导小组，明确分管校领导牵头相关职能部门组建工作小组负责规划、建设、应用和保障工作。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领导小组、CIO定期主持研究工作得0.5分，教务、德育、技术、教研、后勤等学校职能部门分工明确、执行有力得0.5分。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850"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C4.有固定的专职技术人员、专（兼）职运维团队，支持服务有力。</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有专职技术人员及专（兼）职运维团队得0.5分，能保障学校智慧校园正常运转得0.5分。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100"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B3制度建设</w:t>
            </w:r>
            <w:r>
              <w:rPr>
                <w:rFonts w:hint="eastAsia"/>
                <w:color w:val="000000" w:themeColor="text1"/>
                <w:sz w:val="22"/>
                <w:szCs w:val="22"/>
              </w:rPr>
              <w:br w:type="textWrapping"/>
            </w:r>
            <w:r>
              <w:rPr>
                <w:rFonts w:hint="eastAsia"/>
                <w:color w:val="000000" w:themeColor="text1"/>
                <w:sz w:val="22"/>
                <w:szCs w:val="22"/>
              </w:rPr>
              <w:t>（3分）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C5.建立健全智慧教育管理制度，形成科学合理、切实可行的制度体系。</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3</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有建设管理、教育教学应用、评价激励、网络安全等制度体系得1.5分，制度操作性强、执行良好得1.5分。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850"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B4经费保障</w:t>
            </w:r>
            <w:r>
              <w:rPr>
                <w:rFonts w:hint="eastAsia"/>
                <w:color w:val="000000" w:themeColor="text1"/>
                <w:sz w:val="22"/>
                <w:szCs w:val="22"/>
              </w:rPr>
              <w:br w:type="textWrapping"/>
            </w:r>
            <w:r>
              <w:rPr>
                <w:rFonts w:hint="eastAsia"/>
                <w:color w:val="000000" w:themeColor="text1"/>
                <w:sz w:val="22"/>
                <w:szCs w:val="22"/>
              </w:rPr>
              <w:t>（5分）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C6.学校智慧教育实施方案、重点项目等有财政经费投入。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3</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有财政经费投入得1分，经费满足需要得2分。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850"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C7.学校年度预算能保障智慧校园正常运转。</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每年有预算且比例合理得1分，支出到位、满足需要得1分。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20" w:hRule="atLeast"/>
          <w:jc w:val="center"/>
        </w:trPr>
        <w:tc>
          <w:tcPr>
            <w:tcW w:w="1605"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A2智慧应用（40分）</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B5数字资源</w:t>
            </w:r>
            <w:r>
              <w:rPr>
                <w:rFonts w:hint="eastAsia"/>
                <w:color w:val="000000" w:themeColor="text1"/>
                <w:sz w:val="22"/>
                <w:szCs w:val="22"/>
              </w:rPr>
              <w:br w:type="textWrapping"/>
            </w:r>
            <w:r>
              <w:rPr>
                <w:rFonts w:hint="eastAsia"/>
                <w:color w:val="000000" w:themeColor="text1"/>
                <w:sz w:val="22"/>
                <w:szCs w:val="22"/>
              </w:rPr>
              <w:t>（6分）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C8.充分应用国家、省、地方智慧教育平台开展教育教学常态化实践应用，完善国家平台学校和行政班级信息，教师实名注册及认证率达100%。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4</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常态化开展国家平台实践应用得1分，完善学校和行政班级信息得0.5分，教师实名证得0.5分；百人浏览量排名全省前列得2分。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20"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C9.建有校本特色数字资源并持续更新，校本资源在市级及以上平台进行交流分享。</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建有校本特色资源得0.5分、持续更新得0.5分。每年有20节以上资源（精品课、教学设计、微课、作业设计等）被市级平台选用得0.5分，被省级平台选用得1分。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978"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B6教学应用</w:t>
            </w:r>
            <w:r>
              <w:rPr>
                <w:rFonts w:hint="eastAsia"/>
                <w:color w:val="000000" w:themeColor="text1"/>
                <w:sz w:val="22"/>
                <w:szCs w:val="22"/>
              </w:rPr>
              <w:br w:type="textWrapping"/>
            </w:r>
            <w:r>
              <w:rPr>
                <w:rFonts w:hint="eastAsia"/>
                <w:color w:val="000000" w:themeColor="text1"/>
                <w:sz w:val="22"/>
                <w:szCs w:val="22"/>
              </w:rPr>
              <w:t>（10分）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C10.通过数字化手段开展教学应用，推动教育教学质量提升有积极效果的应用场景丰富。高中学校要实现主要学科教学常态化直录播，满足学生校外自主学习需求。</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8</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能够基于数字化方式有效开展备课授课、个性学习、作业辅导、课后答疑、学业检测等5个场景得5分，每增加1个场景加1分，上限10分，低于5个场景不得分（5个基本场景，10个场景满分）。高中学校主要学科常态化直录播场景为基本场景之一。</w:t>
            </w:r>
          </w:p>
        </w:tc>
        <w:tc>
          <w:tcPr>
            <w:tcW w:w="849" w:type="dxa"/>
            <w:vMerge w:val="restart"/>
            <w:tcBorders>
              <w:top w:val="single" w:color="000000" w:sz="4" w:space="0"/>
              <w:left w:val="single" w:color="000000" w:sz="4" w:space="0"/>
              <w:right w:val="single" w:color="000000" w:sz="4" w:space="0"/>
            </w:tcBorders>
            <w:shd w:val="clear" w:color="auto" w:fill="auto"/>
            <w:vAlign w:val="center"/>
          </w:tcPr>
          <w:p>
            <w:pPr>
              <w:widowControl/>
              <w:ind w:left="-640" w:leftChars="-200" w:right="186" w:rightChars="58" w:firstLine="640" w:firstLineChars="290"/>
              <w:jc w:val="center"/>
              <w:textAlignment w:val="center"/>
              <w:rPr>
                <w:b/>
                <w:color w:val="000000" w:themeColor="text1"/>
                <w:kern w:val="0"/>
                <w:sz w:val="22"/>
                <w:szCs w:val="22"/>
                <w:lang w:bidi="ar"/>
              </w:rPr>
            </w:pPr>
            <w:r>
              <w:rPr>
                <w:rFonts w:hint="eastAsia"/>
                <w:b/>
                <w:color w:val="000000" w:themeColor="text1"/>
                <w:kern w:val="0"/>
                <w:sz w:val="22"/>
                <w:szCs w:val="22"/>
                <w:lang w:bidi="ar"/>
              </w:rPr>
              <w:t>必要</w:t>
            </w:r>
          </w:p>
          <w:p>
            <w:pPr>
              <w:widowControl/>
              <w:ind w:left="-640" w:leftChars="-200" w:right="186" w:rightChars="58" w:firstLine="640" w:firstLineChars="290"/>
              <w:jc w:val="center"/>
              <w:textAlignment w:val="center"/>
              <w:rPr>
                <w:b/>
                <w:color w:val="000000" w:themeColor="text1"/>
                <w:sz w:val="22"/>
                <w:szCs w:val="22"/>
              </w:rPr>
            </w:pPr>
            <w:r>
              <w:rPr>
                <w:rFonts w:hint="eastAsia"/>
                <w:b/>
                <w:color w:val="000000" w:themeColor="text1"/>
                <w:kern w:val="0"/>
                <w:sz w:val="22"/>
                <w:szCs w:val="22"/>
                <w:lang w:bidi="ar"/>
              </w:rPr>
              <w:t>条件</w:t>
            </w:r>
          </w:p>
        </w:tc>
      </w:tr>
      <w:tr>
        <w:tblPrEx>
          <w:tblCellMar>
            <w:top w:w="0" w:type="dxa"/>
            <w:left w:w="108" w:type="dxa"/>
            <w:bottom w:w="0" w:type="dxa"/>
            <w:right w:w="108" w:type="dxa"/>
          </w:tblCellMar>
        </w:tblPrEx>
        <w:trPr>
          <w:trHeight w:val="900"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C11.本着按需原则合理使用电子产品。</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除计算机课程外，教师每节课使用电子产品开展教学时长原则上不超过教学总时长的30%。</w:t>
            </w: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widowControl/>
              <w:ind w:left="-640" w:leftChars="-200" w:right="186" w:rightChars="58" w:firstLine="640" w:firstLineChars="290"/>
              <w:jc w:val="center"/>
              <w:textAlignment w:val="center"/>
              <w:rPr>
                <w:b/>
                <w:color w:val="000000" w:themeColor="text1"/>
                <w:kern w:val="0"/>
                <w:sz w:val="22"/>
                <w:szCs w:val="22"/>
                <w:lang w:bidi="ar"/>
              </w:rPr>
            </w:pPr>
          </w:p>
        </w:tc>
      </w:tr>
      <w:tr>
        <w:tblPrEx>
          <w:tblCellMar>
            <w:top w:w="0" w:type="dxa"/>
            <w:left w:w="108" w:type="dxa"/>
            <w:bottom w:w="0" w:type="dxa"/>
            <w:right w:w="108" w:type="dxa"/>
          </w:tblCellMar>
        </w:tblPrEx>
        <w:trPr>
          <w:trHeight w:val="20"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B7数字教研</w:t>
            </w:r>
            <w:r>
              <w:rPr>
                <w:rFonts w:hint="eastAsia"/>
                <w:color w:val="000000" w:themeColor="text1"/>
                <w:sz w:val="22"/>
                <w:szCs w:val="22"/>
              </w:rPr>
              <w:br w:type="textWrapping"/>
            </w:r>
            <w:r>
              <w:rPr>
                <w:rFonts w:hint="eastAsia"/>
                <w:color w:val="000000" w:themeColor="text1"/>
                <w:sz w:val="22"/>
                <w:szCs w:val="22"/>
              </w:rPr>
              <w:t>（8分）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C12.通过数字化手段开展教学改革、数字教研等，提高教育教学质量和提升教师素养的应用场景丰富。积极组织薄弱学校开展远程教研活动，促进教育资源共享。</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8</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能够基于数字化方式有效开展资源学习、互动研修、听评课、教育教学研究等4个场景得6分，增加1个场景加1分，上限8分，低于4个场景不得分（4个基本场景，6个场景满分）。远程教研场景为基本场景之一。</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640" w:leftChars="-200" w:right="186" w:rightChars="58" w:firstLine="640" w:firstLineChars="290"/>
              <w:jc w:val="center"/>
              <w:textAlignment w:val="center"/>
              <w:rPr>
                <w:b/>
                <w:color w:val="000000" w:themeColor="text1"/>
                <w:kern w:val="0"/>
                <w:sz w:val="22"/>
                <w:szCs w:val="22"/>
                <w:lang w:bidi="ar"/>
              </w:rPr>
            </w:pPr>
            <w:r>
              <w:rPr>
                <w:rFonts w:hint="eastAsia"/>
                <w:b/>
                <w:color w:val="000000" w:themeColor="text1"/>
                <w:kern w:val="0"/>
                <w:sz w:val="22"/>
                <w:szCs w:val="22"/>
                <w:lang w:bidi="ar"/>
              </w:rPr>
              <w:t>必要</w:t>
            </w:r>
          </w:p>
          <w:p>
            <w:pPr>
              <w:widowControl/>
              <w:ind w:left="-640" w:leftChars="-200" w:right="186" w:rightChars="58" w:firstLine="640" w:firstLineChars="290"/>
              <w:jc w:val="center"/>
              <w:textAlignment w:val="center"/>
              <w:rPr>
                <w:b/>
                <w:color w:val="000000" w:themeColor="text1"/>
                <w:sz w:val="22"/>
                <w:szCs w:val="22"/>
              </w:rPr>
            </w:pPr>
            <w:r>
              <w:rPr>
                <w:rFonts w:hint="eastAsia"/>
                <w:b/>
                <w:color w:val="000000" w:themeColor="text1"/>
                <w:kern w:val="0"/>
                <w:sz w:val="22"/>
                <w:szCs w:val="22"/>
                <w:lang w:bidi="ar"/>
              </w:rPr>
              <w:t>条件</w:t>
            </w:r>
          </w:p>
        </w:tc>
      </w:tr>
      <w:tr>
        <w:tblPrEx>
          <w:tblCellMar>
            <w:top w:w="0" w:type="dxa"/>
            <w:left w:w="108" w:type="dxa"/>
            <w:bottom w:w="0" w:type="dxa"/>
            <w:right w:w="108" w:type="dxa"/>
          </w:tblCellMar>
        </w:tblPrEx>
        <w:trPr>
          <w:trHeight w:val="20" w:hRule="atLeast"/>
          <w:jc w:val="center"/>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B8学校管理</w:t>
            </w:r>
            <w:r>
              <w:rPr>
                <w:rFonts w:hint="eastAsia"/>
                <w:color w:val="000000" w:themeColor="text1"/>
                <w:sz w:val="22"/>
                <w:szCs w:val="22"/>
              </w:rPr>
              <w:br w:type="textWrapping"/>
            </w:r>
            <w:r>
              <w:rPr>
                <w:rFonts w:hint="eastAsia"/>
                <w:color w:val="000000" w:themeColor="text1"/>
                <w:sz w:val="22"/>
                <w:szCs w:val="22"/>
              </w:rPr>
              <w:t>（8分）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C13.通过数字化手段进行学校管理，提高管理效率、降低管理成本有积极推动作用的应用场景丰富。在重要场所有师生数字身份认证，能实现伴随式采集。</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8</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能够基于数字化方式有效开展行政办公、后勤管理、校园安全、家校互动、生活服务等4个场景得4分，增加1个场景加0.5分，上限8分，低于4个场景不得分（4个基本场景，12个场景满分）。校门 、图书室、食堂等实现数字身份认证为基本场景之一。</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640" w:leftChars="-200" w:right="186" w:rightChars="58" w:firstLine="640" w:firstLineChars="290"/>
              <w:jc w:val="center"/>
              <w:textAlignment w:val="center"/>
              <w:rPr>
                <w:b/>
                <w:color w:val="000000" w:themeColor="text1"/>
                <w:kern w:val="0"/>
                <w:sz w:val="22"/>
                <w:szCs w:val="22"/>
                <w:lang w:bidi="ar"/>
              </w:rPr>
            </w:pPr>
            <w:r>
              <w:rPr>
                <w:rFonts w:hint="eastAsia"/>
                <w:b/>
                <w:color w:val="000000" w:themeColor="text1"/>
                <w:kern w:val="0"/>
                <w:sz w:val="22"/>
                <w:szCs w:val="22"/>
                <w:lang w:bidi="ar"/>
              </w:rPr>
              <w:t>必要</w:t>
            </w:r>
          </w:p>
          <w:p>
            <w:pPr>
              <w:widowControl/>
              <w:ind w:left="-640" w:leftChars="-200" w:right="186" w:rightChars="58" w:firstLine="640" w:firstLineChars="290"/>
              <w:jc w:val="center"/>
              <w:textAlignment w:val="center"/>
              <w:rPr>
                <w:b/>
                <w:color w:val="000000" w:themeColor="text1"/>
                <w:sz w:val="22"/>
                <w:szCs w:val="22"/>
              </w:rPr>
            </w:pPr>
            <w:r>
              <w:rPr>
                <w:rFonts w:hint="eastAsia"/>
                <w:b/>
                <w:color w:val="000000" w:themeColor="text1"/>
                <w:kern w:val="0"/>
                <w:sz w:val="22"/>
                <w:szCs w:val="22"/>
                <w:lang w:bidi="ar"/>
              </w:rPr>
              <w:t>条件</w:t>
            </w:r>
          </w:p>
        </w:tc>
      </w:tr>
      <w:tr>
        <w:tblPrEx>
          <w:tblCellMar>
            <w:top w:w="0" w:type="dxa"/>
            <w:left w:w="108" w:type="dxa"/>
            <w:bottom w:w="0" w:type="dxa"/>
            <w:right w:w="108" w:type="dxa"/>
          </w:tblCellMar>
        </w:tblPrEx>
        <w:trPr>
          <w:trHeight w:val="20" w:hRule="atLeast"/>
          <w:jc w:val="center"/>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A2智慧应用（40分）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B9综合评价</w:t>
            </w:r>
            <w:r>
              <w:rPr>
                <w:rFonts w:hint="eastAsia"/>
                <w:color w:val="000000" w:themeColor="text1"/>
                <w:sz w:val="22"/>
                <w:szCs w:val="22"/>
              </w:rPr>
              <w:br w:type="textWrapping"/>
            </w:r>
            <w:r>
              <w:rPr>
                <w:rFonts w:hint="eastAsia"/>
                <w:color w:val="000000" w:themeColor="text1"/>
                <w:sz w:val="22"/>
                <w:szCs w:val="22"/>
              </w:rPr>
              <w:t>（8分）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14.利用人工智能、大数据等技术，完善学生综合素质评价体系，创新德智体美劳过程性评价，探索多元主体参与的评价方式；加强对教师评价及考核管理，构建教师专业成长档案，形成教师专业发展轨迹。在促进教师专业发展、学生核心素养提升等方面的场景丰富。</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8</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能够基于数字化方式有效开展学生综合素质评价、过程性评价、教师专业成长档案等4个场景得6分，增加1个场景加1分，上限8分，低于4个场景不得分（4个基本场景，6个场景满分）。学生综合素质评价为基本场景之一。</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640" w:leftChars="-200" w:right="186" w:rightChars="58" w:firstLine="640" w:firstLineChars="290"/>
              <w:jc w:val="center"/>
              <w:textAlignment w:val="center"/>
              <w:rPr>
                <w:b/>
                <w:color w:val="000000" w:themeColor="text1"/>
                <w:kern w:val="0"/>
                <w:sz w:val="22"/>
                <w:szCs w:val="22"/>
                <w:lang w:bidi="ar"/>
              </w:rPr>
            </w:pPr>
            <w:r>
              <w:rPr>
                <w:rFonts w:hint="eastAsia"/>
                <w:b/>
                <w:color w:val="000000" w:themeColor="text1"/>
                <w:kern w:val="0"/>
                <w:sz w:val="22"/>
                <w:szCs w:val="22"/>
                <w:lang w:bidi="ar"/>
              </w:rPr>
              <w:t>必要</w:t>
            </w:r>
          </w:p>
          <w:p>
            <w:pPr>
              <w:widowControl/>
              <w:ind w:left="-640" w:leftChars="-200" w:right="186" w:rightChars="58" w:firstLine="640" w:firstLineChars="290"/>
              <w:jc w:val="center"/>
              <w:textAlignment w:val="center"/>
              <w:rPr>
                <w:b/>
                <w:color w:val="000000" w:themeColor="text1"/>
                <w:sz w:val="22"/>
                <w:szCs w:val="22"/>
              </w:rPr>
            </w:pPr>
            <w:r>
              <w:rPr>
                <w:rFonts w:hint="eastAsia"/>
                <w:b/>
                <w:color w:val="000000" w:themeColor="text1"/>
                <w:kern w:val="0"/>
                <w:sz w:val="22"/>
                <w:szCs w:val="22"/>
                <w:lang w:bidi="ar"/>
              </w:rPr>
              <w:t>条件</w:t>
            </w:r>
          </w:p>
        </w:tc>
      </w:tr>
      <w:tr>
        <w:tblPrEx>
          <w:tblCellMar>
            <w:top w:w="0" w:type="dxa"/>
            <w:left w:w="108" w:type="dxa"/>
            <w:bottom w:w="0" w:type="dxa"/>
            <w:right w:w="108" w:type="dxa"/>
          </w:tblCellMar>
        </w:tblPrEx>
        <w:trPr>
          <w:trHeight w:val="20" w:hRule="atLeast"/>
          <w:jc w:val="center"/>
        </w:trPr>
        <w:tc>
          <w:tcPr>
            <w:tcW w:w="1605"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A3数字素养（20分）</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B10数字化领导力</w:t>
            </w:r>
          </w:p>
          <w:p>
            <w:pPr>
              <w:jc w:val="center"/>
              <w:rPr>
                <w:color w:val="000000" w:themeColor="text1"/>
                <w:sz w:val="22"/>
                <w:szCs w:val="22"/>
              </w:rPr>
            </w:pPr>
            <w:r>
              <w:rPr>
                <w:rFonts w:hint="eastAsia"/>
                <w:color w:val="000000" w:themeColor="text1"/>
                <w:sz w:val="22"/>
                <w:szCs w:val="22"/>
              </w:rPr>
              <w:t>（5分）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C15.书记、校长、分管校领导教育数字化理念先进、思路清晰，教师信息技术应用能力提升培训达到规定要求。在数字化发展规划、教学模式创新、应用能力研修、基础设施、教学资源应用等方面发挥主导作用并协调组织实施，组织评价考核到位。具备基本数字素养，带头学习数字技术，关注数字化发展趋势，推进数字技术与教育教学的深度融合创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sz w:val="22"/>
                <w:szCs w:val="22"/>
              </w:rPr>
              <w:t>3</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理念先进、思路清晰得0.5分，智慧教育组织管理有力得0.5分，推动教学模式创新得0.5分，团队及教师评价考核到位得0.5分，参加信息化领导力相关学习活动得0.5分，书记、校长、分管校领导参加信息技术应用能力提升培训并合格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026"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C16.管理团队积推进学校教育数字化变革，善于利用数字技术开展管理，起到引领带头作用。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管理团队成员履职到位得1分，成效明显得1分。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20"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B11教师素养</w:t>
            </w:r>
            <w:r>
              <w:rPr>
                <w:rFonts w:hint="eastAsia"/>
                <w:color w:val="000000" w:themeColor="text1"/>
                <w:sz w:val="22"/>
                <w:szCs w:val="22"/>
              </w:rPr>
              <w:br w:type="textWrapping"/>
            </w:r>
            <w:r>
              <w:rPr>
                <w:rFonts w:hint="eastAsia"/>
                <w:color w:val="000000" w:themeColor="text1"/>
                <w:sz w:val="22"/>
                <w:szCs w:val="22"/>
              </w:rPr>
              <w:t>（7分）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17.理解数字技术推动教育数字化的重要意义，数字化教育教学活动中行为规范符合相关道德法律规范并注重数字安全；了解常见数字技术知识，掌握数字资源应用技能，常态使用2种以上数字化工具或数字资源平台开展教育教学活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全体教师对数字教育的认识、道德规范、数字安全认识到位得1分，100%的教师常态使用2种以上数字化工具或数字资源平台开展教学设计、实施、评价、协同育人等得1分。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20"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C18.利用数字资源促进自身专业发展，根据学校培养培训计划，全员参加中小学教师信息技术应用能力提升培训，合格率95%及以上。</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合格率达95%及以上得1分。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20" w:hRule="atLeast"/>
          <w:jc w:val="center"/>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C19.有一定数量的智慧教育种子教师、骨干教师，组建智慧教育应用团队。</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有市级及以上种子教师、骨干教师得1分，有覆盖主要学科的智慧教育应用团队得1分。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800" w:hRule="atLeast"/>
          <w:jc w:val="center"/>
        </w:trPr>
        <w:tc>
          <w:tcPr>
            <w:tcW w:w="1605"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sz w:val="22"/>
                <w:szCs w:val="22"/>
              </w:rPr>
              <w:t>A3数字素养（20分）</w:t>
            </w:r>
          </w:p>
        </w:tc>
        <w:tc>
          <w:tcPr>
            <w:tcW w:w="1660"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sz w:val="22"/>
                <w:szCs w:val="22"/>
              </w:rPr>
              <w:t>B11教师素养</w:t>
            </w:r>
            <w:r>
              <w:rPr>
                <w:rFonts w:hint="eastAsia"/>
                <w:color w:val="000000"/>
                <w:sz w:val="22"/>
                <w:szCs w:val="22"/>
              </w:rPr>
              <w:br w:type="textWrapping"/>
            </w:r>
            <w:r>
              <w:rPr>
                <w:rFonts w:hint="eastAsia"/>
                <w:color w:val="000000"/>
                <w:sz w:val="22"/>
                <w:szCs w:val="22"/>
              </w:rPr>
              <w:t>（7分）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C20.教师积极参与课堂教学大比武等数字素养实践活动。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教师参与率达90%及以上得1分。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123"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C21.近两年有教师取得省级以上信息技术教育教学应用论文、课题、案例等研究成果或市级以上数字素养实践活动奖项。</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有精品课、论文、课例、课题、案例等省级以上成果得0.2分/个，市级以上奖项得0.1分/个。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885"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B12学生素养</w:t>
            </w:r>
            <w:r>
              <w:rPr>
                <w:rFonts w:hint="eastAsia"/>
                <w:color w:val="000000" w:themeColor="text1"/>
                <w:sz w:val="22"/>
                <w:szCs w:val="22"/>
              </w:rPr>
              <w:br w:type="textWrapping"/>
            </w:r>
            <w:r>
              <w:rPr>
                <w:rFonts w:hint="eastAsia"/>
                <w:color w:val="000000" w:themeColor="text1"/>
                <w:sz w:val="22"/>
                <w:szCs w:val="22"/>
              </w:rPr>
              <w:t>（4分）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C22.按照信息技术（科技）课程标准全面完成课程内容，质量监测合格率达标。</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质量监测合格得1分。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640" w:leftChars="-200" w:right="186" w:rightChars="58" w:firstLine="640" w:firstLineChars="290"/>
              <w:jc w:val="center"/>
              <w:textAlignment w:val="center"/>
              <w:rPr>
                <w:b/>
                <w:color w:val="000000" w:themeColor="text1"/>
                <w:kern w:val="0"/>
                <w:sz w:val="22"/>
                <w:szCs w:val="22"/>
                <w:lang w:bidi="ar"/>
              </w:rPr>
            </w:pPr>
            <w:r>
              <w:rPr>
                <w:rFonts w:hint="eastAsia"/>
                <w:b/>
                <w:color w:val="000000" w:themeColor="text1"/>
                <w:kern w:val="0"/>
                <w:sz w:val="22"/>
                <w:szCs w:val="22"/>
                <w:lang w:bidi="ar"/>
              </w:rPr>
              <w:t>必要</w:t>
            </w:r>
          </w:p>
          <w:p>
            <w:pPr>
              <w:widowControl/>
              <w:ind w:left="-640" w:leftChars="-200" w:right="186" w:rightChars="58" w:firstLine="640" w:firstLineChars="290"/>
              <w:jc w:val="center"/>
              <w:textAlignment w:val="center"/>
              <w:rPr>
                <w:color w:val="000000" w:themeColor="text1"/>
                <w:sz w:val="22"/>
                <w:szCs w:val="22"/>
              </w:rPr>
            </w:pPr>
            <w:r>
              <w:rPr>
                <w:rFonts w:hint="eastAsia"/>
                <w:b/>
                <w:color w:val="000000" w:themeColor="text1"/>
                <w:kern w:val="0"/>
                <w:sz w:val="22"/>
                <w:szCs w:val="22"/>
                <w:lang w:bidi="ar"/>
              </w:rPr>
              <w:t>条件</w:t>
            </w:r>
          </w:p>
        </w:tc>
      </w:tr>
      <w:tr>
        <w:tblPrEx>
          <w:tblCellMar>
            <w:top w:w="0" w:type="dxa"/>
            <w:left w:w="108" w:type="dxa"/>
            <w:bottom w:w="0" w:type="dxa"/>
            <w:right w:w="108" w:type="dxa"/>
          </w:tblCellMar>
        </w:tblPrEx>
        <w:trPr>
          <w:trHeight w:val="886"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rPr>
                <w:rFonts w:hint="default" w:ascii="Times New Roman" w:hAnsi="Times New Roman" w:eastAsia="仿宋_GB2312"/>
                <w:sz w:val="22"/>
                <w:szCs w:val="22"/>
              </w:rPr>
            </w:pPr>
            <w:r>
              <w:rPr>
                <w:rFonts w:ascii="Times New Roman" w:hAnsi="Times New Roman" w:eastAsia="仿宋_GB2312"/>
                <w:sz w:val="22"/>
                <w:szCs w:val="22"/>
              </w:rPr>
              <w:t>C23.</w:t>
            </w:r>
            <w:r>
              <w:rPr>
                <w:rFonts w:ascii="Times New Roman" w:hAnsi="Times New Roman" w:eastAsia="仿宋_GB2312"/>
                <w:kern w:val="2"/>
                <w:sz w:val="22"/>
                <w:szCs w:val="22"/>
              </w:rPr>
              <w:t xml:space="preserve">学生数字素养评测达到教育部规定的基本要求。 </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抽取学生开展数字素养评测，得分达到40以上。</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447"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C24.积极参加学校及各级教育主管部门组织开展的创客教育、人工智能等学生数字素养实践或创新活动。每年有数字作品在市级及以上活动获奖或展示交流。</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2"/>
                <w:szCs w:val="22"/>
              </w:rPr>
            </w:pPr>
            <w:r>
              <w:rPr>
                <w:rFonts w:hint="eastAsia"/>
                <w:sz w:val="22"/>
                <w:szCs w:val="22"/>
              </w:rPr>
              <w:t>学生个人（团队）获市级奖励0.1分/个，省级奖0.2分/个，国家级奖励0.3分/个（同类别认最高级）。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947"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B13技术人员素养</w:t>
            </w:r>
            <w:r>
              <w:rPr>
                <w:rFonts w:hint="eastAsia"/>
                <w:color w:val="000000" w:themeColor="text1"/>
                <w:sz w:val="22"/>
                <w:szCs w:val="22"/>
              </w:rPr>
              <w:br w:type="textWrapping"/>
            </w:r>
            <w:r>
              <w:rPr>
                <w:rFonts w:hint="eastAsia"/>
                <w:color w:val="000000" w:themeColor="text1"/>
                <w:sz w:val="22"/>
                <w:szCs w:val="22"/>
              </w:rPr>
              <w:t>（4分）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C25.加强前沿数字技术学习，具备与教育数字化发展相适应的理论知识水平和实践能力。</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获得数字技能、网络安全等相关培训证明、证书得1分。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785"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C26.具备熟练使用学校智慧教育软硬件的专业操作能力，并有效指导学校数字技术应用。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熟练操作学校常用设备或平台得1分，有效指导师生应用得1分。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080" w:hRule="atLeast"/>
          <w:jc w:val="center"/>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C27.确保各种数字化设备正常使用，软件系统运行顺畅，对学校重大活动技术支撑、维护保障及时有力。</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学校数字化设备均正常运行得0.5分，能对重大活动进行技术保障得0.5分。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658" w:hRule="atLeast"/>
          <w:jc w:val="center"/>
        </w:trPr>
        <w:tc>
          <w:tcPr>
            <w:tcW w:w="1605"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A4智慧环境（18分）</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B14智慧云</w:t>
            </w:r>
            <w:r>
              <w:rPr>
                <w:rFonts w:hint="eastAsia"/>
                <w:color w:val="000000" w:themeColor="text1"/>
                <w:sz w:val="22"/>
                <w:szCs w:val="22"/>
              </w:rPr>
              <w:br w:type="textWrapping"/>
            </w:r>
            <w:r>
              <w:rPr>
                <w:rFonts w:hint="eastAsia"/>
                <w:color w:val="000000" w:themeColor="text1"/>
                <w:sz w:val="22"/>
                <w:szCs w:val="22"/>
              </w:rPr>
              <w:t>（4分）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C28.学校有业务系统使用计算、存储、安全等云资源。</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学校教学管理、应用、评价等业务系统有云资使用源得1分。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979"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C29.积极配合上级部门实施教育云网边端一体化建设，根据学校实际情况适当配置区域或本地运算与资源存储，支撑数字技术应用。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视频监控、校本数字资源等数字技术应用支持区域或本地运算与资源存储得1分。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022"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C30.积极对接上级平台，按照上级平台规范实现统一身份认证，学校按要求实现数据共享。</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学校身份认证和省级平台统一得1分，学校师生基础信息、学校安全、资产、信息化等数据更新及时，实现共享得1分。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1671"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B15校园网络</w:t>
            </w:r>
            <w:r>
              <w:rPr>
                <w:rFonts w:hint="eastAsia"/>
                <w:color w:val="000000" w:themeColor="text1"/>
                <w:sz w:val="22"/>
                <w:szCs w:val="22"/>
              </w:rPr>
              <w:br w:type="textWrapping"/>
            </w:r>
            <w:r>
              <w:rPr>
                <w:rFonts w:hint="eastAsia"/>
                <w:color w:val="000000" w:themeColor="text1"/>
                <w:sz w:val="22"/>
                <w:szCs w:val="22"/>
              </w:rPr>
              <w:t>（4分）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31.建成有线网、无线网、物联网等多网融合的学校网络。具备千兆光纤到校、百兆到班的高速校园网络，无线网络充分支持移动教学、移动学习、移动办公等场景，有能支撑智慧教育相关应用的物联网。全面支持IPv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千兆光纤到校、百兆到班得0.5分，无线网络全覆盖得0.5分，有支撑应用的物联网得0.5分，新配置设备支持IPv6得0.5分。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657"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C32.数字网络带宽满足教育教学需要，支持高峰期群体并发访问。</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校园网络运行流畅，高峰出口网络带宽占用率低于80%得2分。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779"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B16 数字终端</w:t>
            </w:r>
            <w:r>
              <w:rPr>
                <w:rFonts w:hint="eastAsia"/>
                <w:color w:val="000000" w:themeColor="text1"/>
                <w:sz w:val="22"/>
                <w:szCs w:val="22"/>
              </w:rPr>
              <w:br w:type="textWrapping"/>
            </w:r>
            <w:r>
              <w:rPr>
                <w:rFonts w:hint="eastAsia"/>
                <w:color w:val="000000" w:themeColor="text1"/>
                <w:sz w:val="22"/>
                <w:szCs w:val="22"/>
              </w:rPr>
              <w:t>（5分）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C33.教室、办公场所应用终端实现100%全覆盖。</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教室教学终端、办公场所应用终端100%覆盖各得0.5分，常态化应用得1分。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937"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C34.有支持混合学习、数字教研等的专用教室和终端。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有数字化实验室、艺术教室、创客教室、直录播教室和网络教研室等专用功能室，满足教学教研需求得0.5分，常态化使用得0.5分。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695"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C35.在公共服务区域配备公用终端。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公共空间有支持师生泛在学习、数字服务和智慧场景应用的服务终端得0.5分，常态化使用得0.5分。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C36.设有支持学生智慧终端管理的专用设施。</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有管理学生终端设备的专用设施得1分。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restart"/>
            <w:tcBorders>
              <w:top w:val="single" w:color="000000" w:sz="4" w:space="0"/>
              <w:left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A4智慧环境（18分）</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B17网络与信息安全</w:t>
            </w:r>
            <w:r>
              <w:rPr>
                <w:rFonts w:hint="eastAsia"/>
                <w:color w:val="000000" w:themeColor="text1"/>
                <w:sz w:val="22"/>
                <w:szCs w:val="22"/>
              </w:rPr>
              <w:br w:type="textWrapping"/>
            </w:r>
            <w:r>
              <w:rPr>
                <w:rFonts w:hint="eastAsia"/>
                <w:color w:val="000000" w:themeColor="text1"/>
                <w:sz w:val="22"/>
                <w:szCs w:val="22"/>
              </w:rPr>
              <w:t>（5分）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C37.落实网络安全等级保护，落实APP进校园相关规定。</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学校信息系统安全等级保护证书等资料齐全得1分，校园APP100%备案得1分。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continue"/>
            <w:tcBorders>
              <w:left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C38.加强网络安全宣传教育，全面落实未成年人上网安全保护技术措施。学校安装有未成年人网络保护软件，全面实现上网实名制。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2</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学校安装有未成年人网络保护软件得1分，实现上网实名制得1分。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b/>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C39.加强数据安全管理，严格落实国家有关法律法规，涉及师生数据必须自主可控。</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1</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涉及师生数据（如基础信息、生物信息、教学信息等）自主可控得1分。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A5创新示范（10分）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B18创新成果（4分）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C40.学校在智慧教育管理机制、教学教研、管理服务、资源应用等方面创新成果显著、特色突出。</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4</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创新成果在市级及以上进行会议分享、活动交流、案例展示等，国家级2分/个，省级1分/个，市级0.5分/个（同类别认最高级）。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B19示范引领</w:t>
            </w:r>
            <w:r>
              <w:rPr>
                <w:rFonts w:hint="eastAsia"/>
                <w:color w:val="000000" w:themeColor="text1"/>
                <w:sz w:val="22"/>
                <w:szCs w:val="22"/>
              </w:rPr>
              <w:br w:type="textWrapping"/>
            </w:r>
            <w:r>
              <w:rPr>
                <w:rFonts w:hint="eastAsia"/>
                <w:color w:val="000000" w:themeColor="text1"/>
                <w:sz w:val="22"/>
                <w:szCs w:val="22"/>
              </w:rPr>
              <w:t>（5分）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C41.近两年有市级及以上数字化课题或研究成果。</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3</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有数字化课题研究立项得0.5分，结题得0.5分，研究成果评为优秀市级得0.5分，省级1分，国家级2分（同类别认最高级）。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42.学校成为人工智能、大数据、物联网、虚拟现实、5G+智慧教育、四川云教等数字化试点、示范单位，在深化课程改革、服务双减、乡村振兴、优质均衡发展等方面形成可复制、可推广经验，充分发挥示范引领作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3</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成为市级教育数字化试点、示范0.5分/个，省级试点、示范得1分/个，国家级试点、示范得2分/个（同类别认最高级）。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3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r>
              <w:rPr>
                <w:rFonts w:hint="eastAsia"/>
                <w:color w:val="000000" w:themeColor="text1"/>
                <w:sz w:val="22"/>
                <w:szCs w:val="22"/>
              </w:rPr>
              <w:t>加分项</w:t>
            </w:r>
            <w:r>
              <w:rPr>
                <w:rFonts w:hint="eastAsia"/>
                <w:color w:val="000000" w:themeColor="text1"/>
                <w:sz w:val="22"/>
                <w:szCs w:val="22"/>
              </w:rPr>
              <w:br w:type="textWrapping"/>
            </w:r>
            <w:r>
              <w:rPr>
                <w:rFonts w:hint="eastAsia"/>
                <w:color w:val="000000" w:themeColor="text1"/>
                <w:sz w:val="22"/>
                <w:szCs w:val="22"/>
              </w:rPr>
              <w:t>（20分）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C43.数字化工作受到教育部、省级表彰。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6</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省级表彰2分/次，国家表彰3分/次。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3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C44.获得国、省教育数字化典型案例、研究成果。</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6</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省级典型案例1分/个，成果2分/个；国家级典型案例2分/个，成果3分/个。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r>
        <w:tblPrEx>
          <w:tblCellMar>
            <w:top w:w="0" w:type="dxa"/>
            <w:left w:w="108" w:type="dxa"/>
            <w:bottom w:w="0" w:type="dxa"/>
            <w:right w:w="108" w:type="dxa"/>
          </w:tblCellMar>
        </w:tblPrEx>
        <w:trPr>
          <w:trHeight w:val="567" w:hRule="atLeast"/>
          <w:jc w:val="center"/>
        </w:trPr>
        <w:tc>
          <w:tcPr>
            <w:tcW w:w="3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2"/>
                <w:szCs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C45.近两年承担过国家、省级教育数字化现场观摩活动、交流发言或全国教育数字化应用展示等任务。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2"/>
                <w:szCs w:val="22"/>
              </w:rPr>
            </w:pPr>
            <w:r>
              <w:rPr>
                <w:rFonts w:hint="eastAsia"/>
                <w:color w:val="000000" w:themeColor="text1"/>
                <w:sz w:val="22"/>
                <w:szCs w:val="22"/>
              </w:rPr>
              <w:t>8</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 w:val="22"/>
                <w:szCs w:val="22"/>
              </w:rPr>
            </w:pPr>
            <w:r>
              <w:rPr>
                <w:rFonts w:hint="eastAsia"/>
                <w:color w:val="000000" w:themeColor="text1"/>
                <w:sz w:val="22"/>
                <w:szCs w:val="22"/>
              </w:rPr>
              <w:t>省级2分/次，国家级3分/次（同类别认最高级）。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640" w:leftChars="-200" w:right="186" w:rightChars="58" w:firstLine="638" w:firstLineChars="290"/>
              <w:jc w:val="center"/>
              <w:rPr>
                <w:color w:val="000000" w:themeColor="text1"/>
                <w:sz w:val="22"/>
                <w:szCs w:val="22"/>
              </w:rPr>
            </w:pPr>
          </w:p>
        </w:tc>
      </w:tr>
    </w:tbl>
    <w:p>
      <w:bookmarkStart w:id="0" w:name="_GoBack"/>
      <w:bookmarkEnd w:id="0"/>
    </w:p>
    <w:sectPr>
      <w:footerReference r:id="rId3" w:type="default"/>
      <w:footerReference r:id="rId4" w:type="even"/>
      <w:pgSz w:w="16840" w:h="11907" w:orient="landscape"/>
      <w:pgMar w:top="1588" w:right="2098" w:bottom="1474" w:left="1985"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Pr>
        <w:rStyle w:val="15"/>
        <w:rFonts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18</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 w:name="KGWebUrl" w:val="http://202.61.88.179:80/seeyon/officeservlet"/>
  </w:docVars>
  <w:rsids>
    <w:rsidRoot w:val="00937662"/>
    <w:rsid w:val="0002581B"/>
    <w:rsid w:val="000470F3"/>
    <w:rsid w:val="00077BDD"/>
    <w:rsid w:val="0008371E"/>
    <w:rsid w:val="000C39D7"/>
    <w:rsid w:val="000F1ADB"/>
    <w:rsid w:val="00125E76"/>
    <w:rsid w:val="00172C72"/>
    <w:rsid w:val="00191470"/>
    <w:rsid w:val="001B66F3"/>
    <w:rsid w:val="001D2EDA"/>
    <w:rsid w:val="001D4677"/>
    <w:rsid w:val="00277F39"/>
    <w:rsid w:val="002B4646"/>
    <w:rsid w:val="002D74AF"/>
    <w:rsid w:val="002E11A0"/>
    <w:rsid w:val="003070AA"/>
    <w:rsid w:val="003C170C"/>
    <w:rsid w:val="003E6029"/>
    <w:rsid w:val="0040328D"/>
    <w:rsid w:val="00403CE4"/>
    <w:rsid w:val="00473740"/>
    <w:rsid w:val="004847CB"/>
    <w:rsid w:val="00502423"/>
    <w:rsid w:val="005632C2"/>
    <w:rsid w:val="005C0E67"/>
    <w:rsid w:val="005D7D66"/>
    <w:rsid w:val="005E09C0"/>
    <w:rsid w:val="005F386C"/>
    <w:rsid w:val="005F6309"/>
    <w:rsid w:val="00672EC0"/>
    <w:rsid w:val="007030D4"/>
    <w:rsid w:val="00763290"/>
    <w:rsid w:val="00776F49"/>
    <w:rsid w:val="007E0DE8"/>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91571"/>
    <w:rsid w:val="00CC620F"/>
    <w:rsid w:val="00E14BFD"/>
    <w:rsid w:val="00E24058"/>
    <w:rsid w:val="00EA3157"/>
    <w:rsid w:val="00EC2A23"/>
    <w:rsid w:val="00EC6806"/>
    <w:rsid w:val="00EC7462"/>
    <w:rsid w:val="00F33046"/>
    <w:rsid w:val="00FA7EEC"/>
    <w:rsid w:val="00FD225D"/>
    <w:rsid w:val="00FF25F0"/>
    <w:rsid w:val="3D14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9"/>
    <w:qFormat/>
    <w:uiPriority w:val="9"/>
    <w:pPr>
      <w:spacing w:beforeAutospacing="1" w:afterAutospacing="1"/>
      <w:jc w:val="left"/>
      <w:outlineLvl w:val="0"/>
    </w:pPr>
    <w:rPr>
      <w:rFonts w:hint="eastAsia" w:ascii="宋体" w:hAnsi="宋体" w:eastAsia="宋体"/>
      <w:b/>
      <w:kern w:val="44"/>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szCs w:val="22"/>
    </w:rPr>
  </w:style>
  <w:style w:type="paragraph" w:styleId="4">
    <w:name w:val="Body Text"/>
    <w:basedOn w:val="1"/>
    <w:next w:val="1"/>
    <w:link w:val="21"/>
    <w:qFormat/>
    <w:uiPriority w:val="0"/>
    <w:pPr>
      <w:spacing w:after="140" w:line="276" w:lineRule="auto"/>
    </w:pPr>
    <w:rPr>
      <w:rFonts w:ascii="Calibri" w:hAnsi="Calibri"/>
      <w:szCs w:val="22"/>
    </w:rPr>
  </w:style>
  <w:style w:type="paragraph" w:styleId="5">
    <w:name w:val="Date"/>
    <w:basedOn w:val="1"/>
    <w:next w:val="1"/>
    <w:link w:val="22"/>
    <w:unhideWhenUsed/>
    <w:qFormat/>
    <w:uiPriority w:val="99"/>
    <w:pPr>
      <w:ind w:left="100" w:leftChars="2500"/>
    </w:pPr>
    <w:rPr>
      <w:rFonts w:ascii="Calibri" w:hAnsi="Calibri"/>
      <w:szCs w:val="22"/>
    </w:rPr>
  </w:style>
  <w:style w:type="paragraph" w:styleId="6">
    <w:name w:val="Balloon Text"/>
    <w:basedOn w:val="1"/>
    <w:link w:val="18"/>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unhideWhenUsed/>
    <w:qFormat/>
    <w:uiPriority w:val="99"/>
    <w:pPr>
      <w:spacing w:beforeAutospacing="1" w:afterAutospacing="1"/>
      <w:jc w:val="left"/>
    </w:pPr>
    <w:rPr>
      <w:rFonts w:ascii="Calibri" w:hAnsi="Calibri"/>
      <w:kern w:val="0"/>
      <w:sz w:val="24"/>
      <w:szCs w:val="22"/>
    </w:rPr>
  </w:style>
  <w:style w:type="table" w:styleId="12">
    <w:name w:val="Table Grid"/>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rPr>
  </w:style>
  <w:style w:type="character" w:styleId="15">
    <w:name w:val="page number"/>
    <w:qFormat/>
    <w:uiPriority w:val="99"/>
  </w:style>
  <w:style w:type="character" w:customStyle="1" w:styleId="16">
    <w:name w:val="页眉 Char"/>
    <w:link w:val="8"/>
    <w:qFormat/>
    <w:uiPriority w:val="99"/>
    <w:rPr>
      <w:rFonts w:eastAsia="仿宋_GB2312"/>
      <w:kern w:val="2"/>
      <w:sz w:val="18"/>
      <w:szCs w:val="18"/>
    </w:rPr>
  </w:style>
  <w:style w:type="character" w:customStyle="1" w:styleId="17">
    <w:name w:val="页脚 Char"/>
    <w:link w:val="7"/>
    <w:qFormat/>
    <w:uiPriority w:val="99"/>
    <w:rPr>
      <w:rFonts w:eastAsia="仿宋_GB2312"/>
      <w:kern w:val="2"/>
      <w:sz w:val="18"/>
      <w:szCs w:val="18"/>
    </w:rPr>
  </w:style>
  <w:style w:type="character" w:customStyle="1" w:styleId="18">
    <w:name w:val="批注框文本 Char"/>
    <w:link w:val="6"/>
    <w:uiPriority w:val="0"/>
    <w:rPr>
      <w:rFonts w:eastAsia="仿宋_GB2312"/>
      <w:kern w:val="2"/>
      <w:sz w:val="18"/>
      <w:szCs w:val="18"/>
    </w:rPr>
  </w:style>
  <w:style w:type="character" w:customStyle="1" w:styleId="19">
    <w:name w:val="标题 1 Char"/>
    <w:basedOn w:val="13"/>
    <w:link w:val="2"/>
    <w:uiPriority w:val="9"/>
    <w:rPr>
      <w:rFonts w:ascii="宋体" w:hAnsi="宋体"/>
      <w:b/>
      <w:kern w:val="44"/>
      <w:sz w:val="48"/>
      <w:szCs w:val="48"/>
    </w:rPr>
  </w:style>
  <w:style w:type="paragraph" w:customStyle="1" w:styleId="20">
    <w:name w:val="正文文本首行缩进1"/>
    <w:basedOn w:val="4"/>
    <w:qFormat/>
    <w:uiPriority w:val="0"/>
  </w:style>
  <w:style w:type="character" w:customStyle="1" w:styleId="21">
    <w:name w:val="正文文本 Char"/>
    <w:basedOn w:val="13"/>
    <w:link w:val="4"/>
    <w:uiPriority w:val="0"/>
    <w:rPr>
      <w:rFonts w:ascii="Calibri" w:hAnsi="Calibri" w:eastAsia="仿宋_GB2312"/>
      <w:kern w:val="2"/>
      <w:sz w:val="32"/>
      <w:szCs w:val="22"/>
    </w:rPr>
  </w:style>
  <w:style w:type="character" w:customStyle="1" w:styleId="22">
    <w:name w:val="日期 Char"/>
    <w:basedOn w:val="13"/>
    <w:link w:val="5"/>
    <w:qFormat/>
    <w:uiPriority w:val="99"/>
    <w:rPr>
      <w:rFonts w:ascii="Calibri" w:hAnsi="Calibri" w:eastAsia="仿宋_GB2312"/>
      <w:kern w:val="2"/>
      <w:sz w:val="32"/>
      <w:szCs w:val="22"/>
    </w:rPr>
  </w:style>
  <w:style w:type="character" w:customStyle="1" w:styleId="23">
    <w:name w:val="HTML 预设格式 Char"/>
    <w:basedOn w:val="13"/>
    <w:link w:val="9"/>
    <w:uiPriority w:val="99"/>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4</Pages>
  <Words>1769</Words>
  <Characters>10086</Characters>
  <Lines>84</Lines>
  <Paragraphs>23</Paragraphs>
  <TotalTime>0</TotalTime>
  <ScaleCrop>false</ScaleCrop>
  <LinksUpToDate>false</LinksUpToDate>
  <CharactersWithSpaces>11832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2023-10-20T09:10:00Z</dcterms:created>
  <dc:creator>shuibg</dc:creator>
  <cp:lastModifiedBy>hqz</cp:lastModifiedBy>
  <cp:lastPrinted>2022-08-04T02:19:00Z</cp:lastPrinted>
  <dcterms:modified xsi:type="dcterms:W3CDTF">2023-10-23T09:32:09Z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EA3B75B0F3D947E481F7403A540E398D_13</vt:lpwstr>
  </property>
</Properties>
</file>