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E8824">
      <w:pPr>
        <w:jc w:val="right"/>
      </w:pPr>
      <w:r>
        <w:rPr>
          <w:rFonts w:hint="eastAsia"/>
          <w:spacing w:val="34"/>
        </w:rPr>
        <mc:AlternateContent>
          <mc:Choice Requires="wps">
            <w:drawing>
              <wp:anchor distT="0" distB="0" distL="114300" distR="114300" simplePos="0" relativeHeight="251661312" behindDoc="0" locked="0" layoutInCell="1" allowOverlap="1">
                <wp:simplePos x="0" y="0"/>
                <wp:positionH relativeFrom="column">
                  <wp:posOffset>-8890</wp:posOffset>
                </wp:positionH>
                <wp:positionV relativeFrom="paragraph">
                  <wp:posOffset>6969125</wp:posOffset>
                </wp:positionV>
                <wp:extent cx="1270" cy="11430"/>
                <wp:effectExtent l="0" t="0" r="0" b="0"/>
                <wp:wrapNone/>
                <wp:docPr id="1" name="Line 4"/>
                <wp:cNvGraphicFramePr/>
                <a:graphic xmlns:a="http://schemas.openxmlformats.org/drawingml/2006/main">
                  <a:graphicData uri="http://schemas.microsoft.com/office/word/2010/wordprocessingShape">
                    <wps:wsp>
                      <wps:cNvCnPr/>
                      <wps:spPr bwMode="auto">
                        <a:xfrm flipH="1" flipV="1">
                          <a:off x="0" y="0"/>
                          <a:ext cx="1270" cy="11430"/>
                        </a:xfrm>
                        <a:prstGeom prst="line">
                          <a:avLst/>
                        </a:prstGeom>
                        <a:ln w="57150" cap="flat" cmpd="thinThick">
                          <a:solidFill>
                            <a:srgbClr val="FF0000"/>
                          </a:solidFill>
                          <a:prstDash val="solid"/>
                          <a:headEnd type="none" w="med" len="med"/>
                          <a:tailEnd type="none" w="med" len="med"/>
                        </a:ln>
                      </wps:spPr>
                      <wps:bodyPr rot="0">
                        <a:noAutofit/>
                      </wps:bodyPr>
                    </wps:wsp>
                  </a:graphicData>
                </a:graphic>
              </wp:anchor>
            </w:drawing>
          </mc:Choice>
          <mc:Fallback>
            <w:pict>
              <v:line id="Line 4" o:spid="_x0000_s1026" o:spt="20" style="position:absolute;left:0pt;flip:x y;margin-left:-0.7pt;margin-top:548.75pt;height:0.9pt;width:0.1pt;z-index:251661312;mso-width-relative:page;mso-height-relative:page;" filled="f" stroked="t" coordsize="21600,21600" o:gfxdata="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3DKMr2gAAAAsBAAAPAAAAAAAAAAEAIAAAACIAAABkcnMv&#10;ZG93bnJldi54bWxQSwECFAAUAAAACACHTuJAJvZgGAECAAAZBAAADgAAAAAAAAABACAAAAApAQAA&#10;ZHJzL2Uyb0RvYy54bWxQSwUGAAAAAAYABgBZAQAAnAUAAAAA&#10;">
                <v:fill on="f" focussize="0,0"/>
                <v:stroke weight="4.5pt" color="#FF0000" linestyle="thinThick" joinstyle="round"/>
                <v:imagedata o:title=""/>
                <o:lock v:ext="edit" aspectratio="f"/>
              </v:line>
            </w:pict>
          </mc:Fallback>
        </mc:AlternateContent>
      </w:r>
      <w:r>
        <w:rPr>
          <w:rFonts w:hint="eastAsia"/>
          <w:spacing w:val="34"/>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7959725</wp:posOffset>
                </wp:positionV>
                <wp:extent cx="10160" cy="2540"/>
                <wp:effectExtent l="6985" t="27940" r="20955" b="45720"/>
                <wp:wrapNone/>
                <wp:docPr id="2" name="Line 8"/>
                <wp:cNvGraphicFramePr/>
                <a:graphic xmlns:a="http://schemas.openxmlformats.org/drawingml/2006/main">
                  <a:graphicData uri="http://schemas.microsoft.com/office/word/2010/wordprocessingShape">
                    <wps:wsp>
                      <wps:cNvCnPr/>
                      <wps:spPr bwMode="auto">
                        <a:xfrm flipH="1" flipV="1">
                          <a:off x="0" y="0"/>
                          <a:ext cx="10160" cy="2540"/>
                        </a:xfrm>
                        <a:prstGeom prst="line">
                          <a:avLst/>
                        </a:prstGeom>
                        <a:ln w="57150" cap="flat" cmpd="thinThick">
                          <a:solidFill>
                            <a:srgbClr val="FF0000"/>
                          </a:solidFill>
                          <a:prstDash val="solid"/>
                          <a:headEnd type="none" w="med" len="med"/>
                          <a:tailEnd type="none" w="med" len="med"/>
                        </a:ln>
                      </wps:spPr>
                      <wps:bodyPr rot="0">
                        <a:noAutofit/>
                      </wps:bodyPr>
                    </wps:wsp>
                  </a:graphicData>
                </a:graphic>
              </wp:anchor>
            </w:drawing>
          </mc:Choice>
          <mc:Fallback>
            <w:pict>
              <v:line id="Line 8" o:spid="_x0000_s1026" o:spt="20" style="position:absolute;left:0pt;flip:x y;margin-left:-2.2pt;margin-top:626.75pt;height:0.2pt;width:0.8pt;z-index:251660288;mso-width-relative:page;mso-height-relative:page;" filled="f" stroked="t" coordsize="21600,21600" o:gfxdata="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E3jrZ2QAAAAsBAAAPAAAAAAAAAAEAIAAAACIAAABkcnMv&#10;ZG93bnJldi54bWxQSwECFAAUAAAACACHTuJA/l8szAICAAAZBAAADgAAAAAAAAABACAAAAAoAQAA&#10;ZHJzL2Uyb0RvYy54bWxQSwUGAAAAAAYABgBZAQAAnAUAAAAA&#10;">
                <v:fill on="f" focussize="0,0"/>
                <v:stroke weight="4.5pt" color="#FF0000" linestyle="thinThick" joinstyle="round"/>
                <v:imagedata o:title=""/>
                <o:lock v:ext="edit" aspectratio="f"/>
              </v:line>
            </w:pict>
          </mc:Fallback>
        </mc:AlternateContent>
      </w:r>
      <w:r>
        <w:rPr>
          <w:rFonts w:hint="eastAsia"/>
          <w:spacing w:val="34"/>
        </w:rPr>
        <mc:AlternateContent>
          <mc:Choice Requires="wps">
            <w:drawing>
              <wp:anchor distT="0" distB="0" distL="114300" distR="114300" simplePos="0" relativeHeight="251659264" behindDoc="0" locked="0" layoutInCell="1" allowOverlap="1">
                <wp:simplePos x="0" y="0"/>
                <wp:positionH relativeFrom="column">
                  <wp:posOffset>29210</wp:posOffset>
                </wp:positionH>
                <wp:positionV relativeFrom="paragraph">
                  <wp:posOffset>2540</wp:posOffset>
                </wp:positionV>
                <wp:extent cx="3810" cy="10160"/>
                <wp:effectExtent l="26670" t="10160" r="26670" b="17780"/>
                <wp:wrapNone/>
                <wp:docPr id="3" name="Line 4"/>
                <wp:cNvGraphicFramePr/>
                <a:graphic xmlns:a="http://schemas.openxmlformats.org/drawingml/2006/main">
                  <a:graphicData uri="http://schemas.microsoft.com/office/word/2010/wordprocessingShape">
                    <wps:wsp>
                      <wps:cNvCnPr/>
                      <wps:spPr bwMode="auto">
                        <a:xfrm flipH="1" flipV="1">
                          <a:off x="0" y="0"/>
                          <a:ext cx="3810" cy="10160"/>
                        </a:xfrm>
                        <a:prstGeom prst="line">
                          <a:avLst/>
                        </a:prstGeom>
                        <a:ln w="57150" cap="flat" cmpd="thickThin">
                          <a:solidFill>
                            <a:srgbClr val="FF0000"/>
                          </a:solidFill>
                          <a:prstDash val="solid"/>
                          <a:headEnd type="none" w="med" len="med"/>
                          <a:tailEnd type="none" w="med" len="med"/>
                        </a:ln>
                      </wps:spPr>
                      <wps:bodyPr rot="0">
                        <a:noAutofit/>
                      </wps:bodyPr>
                    </wps:wsp>
                  </a:graphicData>
                </a:graphic>
              </wp:anchor>
            </w:drawing>
          </mc:Choice>
          <mc:Fallback>
            <w:pict>
              <v:line id="Line 4" o:spid="_x0000_s1026" o:spt="20" style="position:absolute;left:0pt;flip:x y;margin-left:2.3pt;margin-top:0.2pt;height:0.8pt;width:0.3pt;z-index:251659264;mso-width-relative:page;mso-height-relative:page;" filled="f" stroked="t" coordsize="21600,21600" o:gfxdata="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GSkCvVAAAAAgEAAA8AAAAAAAAAAQAgAAAAIgAAAGRycy9kb3du&#10;cmV2LnhtbFBLAQIUABQAAAAIAIdO4kDYIJM6AgIAABkEAAAOAAAAAAAAAAEAIAAAACQBAABkcnMv&#10;ZTJvRG9jLnhtbFBLBQYAAAAABgAGAFkBAACYBQAAAAA=&#10;">
                <v:fill on="f" focussize="0,0"/>
                <v:stroke weight="4.5pt" color="#FF0000" linestyle="thickThin" joinstyle="round"/>
                <v:imagedata o:title=""/>
                <o:lock v:ext="edit" aspectratio="f"/>
              </v:line>
            </w:pict>
          </mc:Fallback>
        </mc:AlternateContent>
      </w:r>
    </w:p>
    <w:p w14:paraId="7300B78C">
      <w:pPr>
        <w:jc w:val="right"/>
      </w:pPr>
      <w:bookmarkStart w:id="0" w:name="doc_mark"/>
      <w:r>
        <w:rPr>
          <w:rFonts w:hint="eastAsia"/>
        </w:rPr>
        <w:t>川教函〔2025〕352号</w:t>
      </w:r>
      <w:bookmarkEnd w:id="0"/>
    </w:p>
    <w:p w14:paraId="14FA5DEA"/>
    <w:p w14:paraId="07CADB5C">
      <w:pPr>
        <w:spacing w:line="700" w:lineRule="exact"/>
        <w:jc w:val="center"/>
        <w:rPr>
          <w:rFonts w:ascii="方正小标宋_GBK" w:hAnsi="黑体" w:eastAsia="方正小标宋_GBK"/>
          <w:sz w:val="44"/>
        </w:rPr>
      </w:pPr>
      <w:bookmarkStart w:id="1" w:name="Content"/>
      <w:bookmarkEnd w:id="1"/>
      <w:r>
        <w:rPr>
          <w:rFonts w:ascii="方正小标宋_GBK" w:hAnsi="黑体" w:eastAsia="方正小标宋_GBK"/>
          <w:sz w:val="44"/>
        </w:rPr>
        <w:t>四川省教育厅</w:t>
      </w:r>
      <w:r>
        <w:rPr>
          <w:rFonts w:hint="eastAsia" w:ascii="方正小标宋_GBK" w:hAnsi="黑体" w:eastAsia="方正小标宋_GBK"/>
          <w:sz w:val="44"/>
        </w:rPr>
        <w:t>等三部门</w:t>
      </w:r>
    </w:p>
    <w:p w14:paraId="1A5AFEFF">
      <w:pPr>
        <w:spacing w:line="700" w:lineRule="exact"/>
        <w:jc w:val="center"/>
        <w:rPr>
          <w:rFonts w:ascii="方正小标宋_GBK" w:hAnsi="黑体" w:eastAsia="方正小标宋_GBK"/>
          <w:sz w:val="44"/>
        </w:rPr>
      </w:pPr>
      <w:r>
        <w:rPr>
          <w:rFonts w:ascii="方正小标宋_GBK" w:hAnsi="黑体" w:eastAsia="方正小标宋_GBK"/>
          <w:sz w:val="44"/>
        </w:rPr>
        <w:t>关于</w:t>
      </w:r>
      <w:r>
        <w:rPr>
          <w:rFonts w:hint="eastAsia" w:ascii="方正小标宋_GBK" w:hAnsi="黑体" w:eastAsia="方正小标宋_GBK"/>
          <w:sz w:val="44"/>
        </w:rPr>
        <w:t>联合印发《四川省地方属公办高校</w:t>
      </w:r>
    </w:p>
    <w:p w14:paraId="2F4EE126">
      <w:pPr>
        <w:spacing w:line="700" w:lineRule="exact"/>
        <w:jc w:val="center"/>
        <w:rPr>
          <w:rFonts w:ascii="方正小标宋_GBK" w:hAnsi="黑体" w:eastAsia="方正小标宋_GBK"/>
          <w:sz w:val="44"/>
        </w:rPr>
      </w:pPr>
      <w:r>
        <w:rPr>
          <w:rFonts w:hint="eastAsia" w:ascii="方正小标宋_GBK" w:hAnsi="黑体" w:eastAsia="方正小标宋_GBK"/>
          <w:sz w:val="44"/>
        </w:rPr>
        <w:t>基本建设规划编制管理办法》</w:t>
      </w:r>
      <w:r>
        <w:rPr>
          <w:rFonts w:ascii="方正小标宋_GBK" w:hAnsi="黑体" w:eastAsia="方正小标宋_GBK"/>
          <w:sz w:val="44"/>
        </w:rPr>
        <w:t>的</w:t>
      </w:r>
      <w:r>
        <w:rPr>
          <w:rFonts w:hint="eastAsia" w:ascii="方正小标宋_GBK" w:hAnsi="黑体" w:eastAsia="方正小标宋_GBK"/>
          <w:sz w:val="44"/>
        </w:rPr>
        <w:t>通知</w:t>
      </w:r>
    </w:p>
    <w:p w14:paraId="7C68FE4C">
      <w:pPr>
        <w:ind w:firstLine="640" w:firstLineChars="200"/>
        <w:rPr>
          <w:rFonts w:hint="eastAsia"/>
        </w:rPr>
      </w:pPr>
    </w:p>
    <w:p w14:paraId="103C0A6C">
      <w:pPr>
        <w:spacing w:line="600" w:lineRule="exact"/>
        <w:rPr>
          <w:rFonts w:hint="eastAsia"/>
        </w:rPr>
      </w:pPr>
      <w:r>
        <w:rPr>
          <w:rFonts w:hint="eastAsia"/>
        </w:rPr>
        <w:t>各地方属公办高校，市（州）教育主管部门、财政局、自然资源主管部门：</w:t>
      </w:r>
    </w:p>
    <w:p w14:paraId="07E42524">
      <w:pPr>
        <w:spacing w:line="600" w:lineRule="exact"/>
        <w:ind w:firstLine="640" w:firstLineChars="200"/>
        <w:sectPr>
          <w:footerReference r:id="rId3" w:type="even"/>
          <w:type w:val="continuous"/>
          <w:pgSz w:w="11907" w:h="16840"/>
          <w:pgMar w:top="1588" w:right="1474" w:bottom="1304" w:left="1588" w:header="1134" w:footer="1134" w:gutter="0"/>
          <w:cols w:space="425" w:num="1"/>
          <w:docGrid w:linePitch="435" w:charSpace="0"/>
        </w:sectPr>
      </w:pPr>
      <w:r>
        <w:rPr>
          <w:rFonts w:hint="eastAsia"/>
        </w:rPr>
        <w:t>为做好我省地方属公办高校基本建设规划编制管理，规范项目建设前期工作，教育厅会同财政厅、自然资源厅研究制定了《四川省地方属公办高校基本建设规划编制管理办法》，现联合印发给你们，请认真贯彻执行。</w:t>
      </w:r>
    </w:p>
    <w:p w14:paraId="5B398180">
      <w:pPr>
        <w:ind w:firstLine="640" w:firstLineChars="200"/>
        <w:rPr>
          <w:rFonts w:hint="eastAsia"/>
        </w:rPr>
      </w:pPr>
    </w:p>
    <w:p w14:paraId="38AB0F35">
      <w:pPr>
        <w:spacing w:line="600" w:lineRule="exact"/>
        <w:ind w:firstLine="640" w:firstLineChars="200"/>
        <w:rPr>
          <w:rFonts w:hint="eastAsia"/>
        </w:rPr>
      </w:pPr>
      <w:r>
        <w:rPr>
          <w:rFonts w:hint="eastAsia"/>
        </w:rPr>
        <w:t>附件：四川省地方属公办高校基本建设规划编制管理办法</w:t>
      </w:r>
    </w:p>
    <w:p w14:paraId="5769DB63">
      <w:pPr>
        <w:spacing w:line="600" w:lineRule="exact"/>
        <w:ind w:firstLine="640" w:firstLineChars="200"/>
        <w:rPr>
          <w:rFonts w:hint="eastAsia"/>
        </w:rPr>
      </w:pPr>
    </w:p>
    <w:p w14:paraId="66C49AB7">
      <w:pPr>
        <w:spacing w:line="600" w:lineRule="exact"/>
        <w:ind w:firstLine="640" w:firstLineChars="200"/>
        <w:rPr>
          <w:rFonts w:hint="eastAsia"/>
        </w:rPr>
      </w:pPr>
    </w:p>
    <w:p w14:paraId="52DAD852">
      <w:pPr>
        <w:spacing w:line="600" w:lineRule="exact"/>
        <w:jc w:val="center"/>
        <w:rPr>
          <w:rFonts w:hint="eastAsia"/>
          <w:bCs/>
        </w:rPr>
      </w:pPr>
      <w:r>
        <w:rPr>
          <w:rFonts w:hint="eastAsia"/>
          <w:bCs/>
        </w:rPr>
        <w:t>四川省教育厅     四川省财政厅    四川省自然资源厅</w:t>
      </w:r>
    </w:p>
    <w:p w14:paraId="603CEBEC">
      <w:pPr>
        <w:spacing w:line="600" w:lineRule="exact"/>
        <w:ind w:firstLine="5305" w:firstLineChars="1658"/>
        <w:jc w:val="center"/>
        <w:rPr>
          <w:rFonts w:hint="eastAsia"/>
          <w:bCs/>
        </w:rPr>
      </w:pPr>
      <w:r>
        <w:rPr>
          <w:rFonts w:hint="eastAsia"/>
          <w:bCs/>
        </w:rPr>
        <w:t>2025年12月26日</w:t>
      </w:r>
    </w:p>
    <w:p w14:paraId="19022BC7">
      <w:pPr>
        <w:rPr>
          <w:rFonts w:ascii="黑体" w:hAnsi="黑体" w:eastAsia="黑体"/>
        </w:rPr>
      </w:pPr>
      <w:r>
        <w:rPr/>
        <w:br w:type="page" w:clear="all"/>
      </w:r>
      <w:r>
        <w:rPr>
          <w:rFonts w:ascii="黑体" w:hAnsi="黑体" w:eastAsia="黑体"/>
        </w:rPr>
        <w:t>附件</w:t>
      </w:r>
    </w:p>
    <w:p w14:paraId="20F54522">
      <w:pPr>
        <w:rPr>
          <w:rFonts w:ascii="黑体" w:hAnsi="黑体" w:eastAsia="黑体"/>
        </w:rPr>
      </w:pPr>
    </w:p>
    <w:p w14:paraId="527CEA6D">
      <w:pPr>
        <w:spacing w:line="800" w:lineRule="exact"/>
        <w:jc w:val="center"/>
        <w:rPr>
          <w:rFonts w:ascii="方正小标宋_GBK" w:hAnsi="黑体" w:eastAsia="方正小标宋_GBK"/>
          <w:bCs/>
          <w:color w:val="000000"/>
          <w:sz w:val="44"/>
          <w:szCs w:val="44"/>
        </w:rPr>
      </w:pPr>
      <w:r>
        <w:rPr>
          <w:rFonts w:ascii="方正小标宋_GBK" w:hAnsi="黑体" w:eastAsia="方正小标宋_GBK"/>
          <w:bCs/>
          <w:color w:val="000000"/>
          <w:sz w:val="44"/>
          <w:szCs w:val="44"/>
        </w:rPr>
        <w:t>四川省地方属</w:t>
      </w:r>
      <w:r>
        <w:rPr>
          <w:rFonts w:hint="eastAsia" w:ascii="方正小标宋_GBK" w:hAnsi="黑体" w:eastAsia="方正小标宋_GBK"/>
          <w:bCs/>
          <w:color w:val="000000"/>
          <w:sz w:val="44"/>
          <w:szCs w:val="44"/>
        </w:rPr>
        <w:t>公办</w:t>
      </w:r>
      <w:r>
        <w:rPr>
          <w:rFonts w:ascii="方正小标宋_GBK" w:hAnsi="黑体" w:eastAsia="方正小标宋_GBK"/>
          <w:bCs/>
          <w:color w:val="000000"/>
          <w:sz w:val="44"/>
          <w:szCs w:val="44"/>
        </w:rPr>
        <w:t>高校基本建设</w:t>
      </w:r>
    </w:p>
    <w:p w14:paraId="7C7CC053">
      <w:pPr>
        <w:spacing w:line="800" w:lineRule="exact"/>
        <w:jc w:val="center"/>
        <w:rPr>
          <w:rFonts w:ascii="方正小标宋_GBK" w:hAnsi="黑体" w:eastAsia="方正小标宋_GBK"/>
          <w:bCs/>
          <w:color w:val="000000"/>
          <w:sz w:val="44"/>
          <w:szCs w:val="44"/>
        </w:rPr>
      </w:pPr>
      <w:r>
        <w:rPr>
          <w:rFonts w:ascii="方正小标宋_GBK" w:hAnsi="黑体" w:eastAsia="方正小标宋_GBK"/>
          <w:bCs/>
          <w:color w:val="000000"/>
          <w:sz w:val="44"/>
          <w:szCs w:val="44"/>
        </w:rPr>
        <w:t>规划编制管理办法</w:t>
      </w:r>
    </w:p>
    <w:p w14:paraId="524477A8">
      <w:pPr>
        <w:rPr>
          <w:rFonts w:ascii="黑体" w:hAnsi="黑体" w:eastAsia="黑体"/>
        </w:rPr>
      </w:pPr>
    </w:p>
    <w:p w14:paraId="7C44ADB7">
      <w:pPr>
        <w:spacing w:line="600" w:lineRule="exact"/>
        <w:jc w:val="center"/>
        <w:rPr>
          <w:rFonts w:ascii="黑体" w:hAnsi="黑体" w:eastAsia="黑体"/>
          <w:color w:val="000000"/>
        </w:rPr>
      </w:pPr>
      <w:r>
        <w:rPr>
          <w:rFonts w:hint="eastAsia" w:ascii="黑体" w:hAnsi="黑体" w:eastAsia="黑体"/>
          <w:color w:val="000000"/>
        </w:rPr>
        <w:t>第一章  总 则</w:t>
      </w:r>
    </w:p>
    <w:p w14:paraId="531C1B9C">
      <w:pPr>
        <w:spacing w:line="600" w:lineRule="exact"/>
        <w:ind w:firstLine="643" w:firstLineChars="200"/>
        <w:rPr>
          <w:color w:val="000000"/>
          <w:lang w:bidi="ar"/>
        </w:rPr>
      </w:pPr>
      <w:r>
        <w:rPr>
          <w:rFonts w:hint="eastAsia"/>
          <w:b/>
          <w:color w:val="000000"/>
          <w:lang w:bidi="ar"/>
        </w:rPr>
        <w:t>第一条</w:t>
      </w:r>
      <w:r>
        <w:rPr>
          <w:rFonts w:hint="eastAsia"/>
          <w:color w:val="000000"/>
          <w:lang w:bidi="ar"/>
        </w:rPr>
        <w:t xml:space="preserve"> 为全面贯彻习近平总书记关于教育的重要论述，认真落实省委、省政府决策部署，加快建设高质量教育体系，推动我省高等教育内涵式发展，促进全省高等教育事业持续健康发展，制定本办法。</w:t>
      </w:r>
    </w:p>
    <w:p w14:paraId="73C9A239">
      <w:pPr>
        <w:spacing w:line="600" w:lineRule="exact"/>
        <w:ind w:firstLine="643" w:firstLineChars="200"/>
        <w:rPr>
          <w:color w:val="000000"/>
          <w:lang w:bidi="ar"/>
        </w:rPr>
      </w:pPr>
      <w:r>
        <w:rPr>
          <w:rFonts w:hint="eastAsia"/>
          <w:b/>
          <w:color w:val="000000"/>
          <w:lang w:bidi="ar"/>
        </w:rPr>
        <w:t>第二条</w:t>
      </w:r>
      <w:r>
        <w:rPr>
          <w:rFonts w:hint="eastAsia"/>
          <w:color w:val="000000"/>
          <w:lang w:bidi="ar"/>
        </w:rPr>
        <w:t xml:space="preserve"> 本办法中的四川省地方属公办高等学校（以下简称高校）是指由国务院教育行政部门或省政府批准独立设置的四川省地方</w:t>
      </w:r>
      <w:r>
        <w:rPr>
          <w:rFonts w:hint="eastAsia"/>
          <w:color w:val="000000"/>
        </w:rPr>
        <w:t>〔</w:t>
      </w:r>
      <w:r>
        <w:rPr>
          <w:rFonts w:hint="eastAsia"/>
          <w:color w:val="000000"/>
          <w:lang w:bidi="ar"/>
        </w:rPr>
        <w:t>含省本级、市（州）级〕财政预算供给的公办全日制普通高校。</w:t>
      </w:r>
    </w:p>
    <w:p w14:paraId="7B474B81">
      <w:pPr>
        <w:spacing w:line="600" w:lineRule="exact"/>
        <w:ind w:firstLine="643" w:firstLineChars="200"/>
        <w:rPr>
          <w:color w:val="000000"/>
          <w:lang w:bidi="ar"/>
        </w:rPr>
      </w:pPr>
      <w:r>
        <w:rPr>
          <w:rFonts w:hint="eastAsia"/>
          <w:b/>
          <w:color w:val="000000"/>
          <w:lang w:bidi="ar"/>
        </w:rPr>
        <w:t>第三条</w:t>
      </w:r>
      <w:r>
        <w:rPr>
          <w:rFonts w:hint="eastAsia"/>
          <w:color w:val="000000"/>
          <w:lang w:bidi="ar"/>
        </w:rPr>
        <w:t xml:space="preserve"> 本办法中的基本建设是指高校按照相关规定由投资主管部门审批（核准）的基本建设项目，包括新建、改建和扩建。本办法中的基本建设涉及的校舍为国家建设标准中规定的必须和选择配置的校舍及人防工程，高校因承担国家或省市重点科研项目，需要增加科研实验、科技成果展示等特殊用房采取“一事一议”单独核定。</w:t>
      </w:r>
    </w:p>
    <w:p w14:paraId="6FF0CC77">
      <w:pPr>
        <w:spacing w:line="600" w:lineRule="exact"/>
        <w:rPr>
          <w:color w:val="000000"/>
          <w:lang w:bidi="ar"/>
        </w:rPr>
      </w:pPr>
    </w:p>
    <w:p w14:paraId="4490624B">
      <w:pPr>
        <w:spacing w:line="600" w:lineRule="exact"/>
        <w:jc w:val="center"/>
        <w:rPr>
          <w:rFonts w:eastAsia="黑体"/>
          <w:color w:val="000000"/>
        </w:rPr>
      </w:pPr>
      <w:r>
        <w:rPr>
          <w:rFonts w:hint="eastAsia" w:eastAsia="黑体"/>
          <w:color w:val="000000"/>
        </w:rPr>
        <w:t>第二章  编制原则</w:t>
      </w:r>
    </w:p>
    <w:p w14:paraId="2D3ADB85">
      <w:pPr>
        <w:spacing w:line="600" w:lineRule="exact"/>
        <w:ind w:firstLine="643" w:firstLineChars="200"/>
        <w:rPr>
          <w:color w:val="000000"/>
          <w:lang w:bidi="ar"/>
        </w:rPr>
      </w:pPr>
      <w:r>
        <w:rPr>
          <w:rFonts w:hint="eastAsia"/>
          <w:b/>
          <w:color w:val="000000"/>
          <w:lang w:bidi="ar"/>
        </w:rPr>
        <w:t>第四条</w:t>
      </w:r>
      <w:r>
        <w:rPr>
          <w:rFonts w:hint="eastAsia"/>
          <w:color w:val="000000"/>
          <w:lang w:bidi="ar"/>
        </w:rPr>
        <w:t xml:space="preserve"> 基本建设规划是高校确定建设项目、开展基本建设的重要依据，应当具有合规性、前瞻性、科学性和可控性。一经批准，原则上不得随意改变。高校基本建设规划实施期间，根据事业发展需要，可于五年规划的中期适时集中调整一次。</w:t>
      </w:r>
    </w:p>
    <w:p w14:paraId="16FAEBFF">
      <w:pPr>
        <w:spacing w:line="600" w:lineRule="exact"/>
        <w:ind w:firstLine="643" w:firstLineChars="200"/>
        <w:rPr>
          <w:color w:val="000000"/>
          <w:lang w:bidi="ar"/>
        </w:rPr>
      </w:pPr>
      <w:r>
        <w:rPr>
          <w:rFonts w:hint="eastAsia"/>
          <w:b/>
          <w:color w:val="000000"/>
          <w:lang w:bidi="ar"/>
        </w:rPr>
        <w:t>第五条</w:t>
      </w:r>
      <w:r>
        <w:rPr>
          <w:rFonts w:hint="eastAsia"/>
          <w:color w:val="000000"/>
          <w:lang w:bidi="ar"/>
        </w:rPr>
        <w:t xml:space="preserve"> 基本建设规划应符合国土空间规划和普通本科学校及高等职业学校建设标准规定的控制指标。</w:t>
      </w:r>
    </w:p>
    <w:p w14:paraId="09BD9F14">
      <w:pPr>
        <w:ind w:firstLine="640" w:firstLineChars="200"/>
        <w:rPr>
          <w:color w:val="000000"/>
        </w:rPr>
      </w:pPr>
    </w:p>
    <w:p w14:paraId="448A3CCC">
      <w:pPr>
        <w:spacing w:line="600" w:lineRule="exact"/>
        <w:jc w:val="center"/>
        <w:rPr>
          <w:rFonts w:eastAsia="黑体"/>
          <w:color w:val="000000"/>
        </w:rPr>
      </w:pPr>
      <w:r>
        <w:rPr>
          <w:rFonts w:hint="eastAsia" w:eastAsia="黑体"/>
          <w:color w:val="000000"/>
        </w:rPr>
        <w:t>第三章  编制与审批</w:t>
      </w:r>
    </w:p>
    <w:p w14:paraId="3BE4D1AF">
      <w:pPr>
        <w:spacing w:line="600" w:lineRule="exact"/>
        <w:ind w:firstLine="643" w:firstLineChars="200"/>
        <w:rPr>
          <w:color w:val="000000"/>
          <w:lang w:bidi="ar"/>
        </w:rPr>
      </w:pPr>
      <w:r>
        <w:rPr>
          <w:rFonts w:hint="eastAsia"/>
          <w:b/>
          <w:color w:val="000000"/>
          <w:lang w:bidi="ar"/>
        </w:rPr>
        <w:t>第六条</w:t>
      </w:r>
      <w:r>
        <w:rPr>
          <w:rFonts w:hint="eastAsia"/>
          <w:color w:val="000000"/>
          <w:lang w:bidi="ar"/>
        </w:rPr>
        <w:t xml:space="preserve"> 教育厅指导高校编制基本建设规划，开展初审、组织论证及批复，对基本建设规划的实施情况进行监测和评价；高校负责基本建设规划的编制、报审和实施，应严格执行国家及省相关规定，严禁搭车建设楼堂馆所、超标准建设和豪华装修。</w:t>
      </w:r>
    </w:p>
    <w:p w14:paraId="69A2CC06">
      <w:pPr>
        <w:spacing w:line="600" w:lineRule="exact"/>
        <w:ind w:firstLine="643" w:firstLineChars="200"/>
        <w:rPr>
          <w:color w:val="000000"/>
          <w:lang w:bidi="ar"/>
        </w:rPr>
      </w:pPr>
      <w:r>
        <w:rPr>
          <w:rFonts w:hint="eastAsia"/>
          <w:b/>
          <w:color w:val="000000"/>
          <w:lang w:bidi="ar"/>
        </w:rPr>
        <w:t>第七条</w:t>
      </w:r>
      <w:r>
        <w:rPr>
          <w:rFonts w:hint="eastAsia"/>
          <w:color w:val="000000"/>
          <w:lang w:bidi="ar"/>
        </w:rPr>
        <w:t xml:space="preserve"> 原则上每五年开展一次办学规模复核，与国民经济和社会发展规划周期保持一致。高校根据经济社会发展需要、现有办学规模统筹办学定位、发展规划、经费保障、基础设施、师资条件、生源情况、毕业生就业等因素评估自身办学能力，合理确定办学规模，并提出申请，经主管部门同意后报教育厅。教育厅经数据分析、实地调研、专家论证、集体研究等程序提出办学规模初核建议，商财政厅意见并达成一致后，由教育厅复核并回复高校。</w:t>
      </w:r>
    </w:p>
    <w:p w14:paraId="2E34A5BB">
      <w:pPr>
        <w:spacing w:line="600" w:lineRule="exact"/>
        <w:ind w:firstLine="640" w:firstLineChars="200"/>
        <w:rPr>
          <w:color w:val="000000"/>
          <w:lang w:bidi="ar"/>
        </w:rPr>
      </w:pPr>
      <w:r>
        <w:rPr>
          <w:rFonts w:hint="eastAsia"/>
          <w:color w:val="000000"/>
          <w:lang w:bidi="ar"/>
        </w:rPr>
        <w:t>普通本科高校的建设规模，应按复核的办学规模和相应类别学校的建筑面积指标及选择配置校舍项目的建筑面积确定。高等职业学校的建设规模，应依据复核的办学规模和相关学校的类别确定。学校类别依据全国普通高等学校分类现状及教育统计分类确定。</w:t>
      </w:r>
    </w:p>
    <w:p w14:paraId="568164E8">
      <w:pPr>
        <w:spacing w:line="600" w:lineRule="exact"/>
        <w:ind w:firstLine="643" w:firstLineChars="200"/>
        <w:rPr>
          <w:color w:val="000000"/>
          <w:spacing w:val="-6"/>
          <w:lang w:bidi="ar"/>
        </w:rPr>
      </w:pPr>
      <w:r>
        <w:rPr>
          <w:rFonts w:hint="eastAsia"/>
          <w:b/>
          <w:color w:val="000000"/>
          <w:lang w:bidi="ar"/>
        </w:rPr>
        <w:t>第八条</w:t>
      </w:r>
      <w:r>
        <w:rPr>
          <w:rFonts w:hint="eastAsia"/>
          <w:color w:val="000000"/>
          <w:lang w:bidi="ar"/>
        </w:rPr>
        <w:t xml:space="preserve"> 高校根据复核的办学规模、现有校舍、事业需求和财务能力，综合考虑土地集约节约利用、校园文化和办学特色，编制五年基本建设规划，组织专家评估论证，开展校内信息公开，充分听取师生员工意见，进行集体决策。高校及时将经主管部门同意的基本建设规划报教育厅。教育厅会同省发展改革委、财政厅和自然资源厅</w:t>
      </w:r>
      <w:r>
        <w:rPr>
          <w:rFonts w:hint="eastAsia"/>
          <w:color w:val="000000"/>
          <w:spacing w:val="-6"/>
          <w:lang w:bidi="ar"/>
        </w:rPr>
        <w:t>开展论证后，由教育厅批复高校。高校基本建设规划中期调整按此程序执行。</w:t>
      </w:r>
    </w:p>
    <w:p w14:paraId="22B5E8B5">
      <w:pPr>
        <w:spacing w:line="600" w:lineRule="exact"/>
        <w:ind w:firstLine="643" w:firstLineChars="200"/>
        <w:rPr>
          <w:color w:val="000000"/>
          <w:spacing w:val="-6"/>
          <w:lang w:bidi="ar"/>
        </w:rPr>
      </w:pPr>
      <w:r>
        <w:rPr>
          <w:rFonts w:hint="eastAsia"/>
          <w:b/>
          <w:color w:val="000000"/>
          <w:lang w:bidi="ar"/>
        </w:rPr>
        <w:t>第九条</w:t>
      </w:r>
      <w:r>
        <w:rPr>
          <w:rFonts w:hint="eastAsia"/>
          <w:color w:val="000000"/>
          <w:lang w:bidi="ar"/>
        </w:rPr>
        <w:t xml:space="preserve"> 经复核的办学规模和支撑高校事业发展的重点项目应纳入高校五年事业发展规划。</w:t>
      </w:r>
    </w:p>
    <w:p w14:paraId="3D2D74F8">
      <w:pPr>
        <w:ind w:firstLine="640" w:firstLineChars="200"/>
        <w:rPr>
          <w:color w:val="000000"/>
        </w:rPr>
      </w:pPr>
    </w:p>
    <w:p w14:paraId="22A4BDB4">
      <w:pPr>
        <w:spacing w:line="600" w:lineRule="exact"/>
        <w:jc w:val="center"/>
        <w:rPr>
          <w:rFonts w:eastAsia="黑体"/>
          <w:color w:val="000000"/>
        </w:rPr>
      </w:pPr>
      <w:r>
        <w:rPr>
          <w:rFonts w:hint="eastAsia" w:eastAsia="黑体"/>
          <w:color w:val="000000"/>
        </w:rPr>
        <w:t>第四章  实施与监测</w:t>
      </w:r>
    </w:p>
    <w:p w14:paraId="488389EA">
      <w:pPr>
        <w:spacing w:line="600" w:lineRule="exact"/>
        <w:ind w:firstLine="643" w:firstLineChars="200"/>
        <w:rPr>
          <w:color w:val="000000"/>
          <w:lang w:bidi="ar"/>
        </w:rPr>
      </w:pPr>
      <w:r>
        <w:rPr>
          <w:rFonts w:hint="eastAsia"/>
          <w:b/>
          <w:color w:val="000000"/>
          <w:lang w:bidi="ar"/>
        </w:rPr>
        <w:t>第十条</w:t>
      </w:r>
      <w:r>
        <w:rPr>
          <w:rFonts w:hint="eastAsia"/>
          <w:color w:val="000000"/>
          <w:lang w:bidi="ar"/>
        </w:rPr>
        <w:t xml:space="preserve"> 高校应根据批复的基本建设规划，建立并完善基本建设项目储备库，每年根据土地、资金等要素保障情况，选择符合条件的储备项目开展立项，实施建设。</w:t>
      </w:r>
    </w:p>
    <w:p w14:paraId="60C1DB86">
      <w:pPr>
        <w:spacing w:line="600" w:lineRule="exact"/>
        <w:ind w:firstLine="643" w:firstLineChars="200"/>
        <w:rPr>
          <w:color w:val="000000"/>
          <w:lang w:bidi="ar"/>
        </w:rPr>
      </w:pPr>
      <w:r>
        <w:rPr>
          <w:rFonts w:hint="eastAsia"/>
          <w:b/>
          <w:color w:val="000000"/>
          <w:lang w:bidi="ar"/>
        </w:rPr>
        <w:t>第十一条</w:t>
      </w:r>
      <w:r>
        <w:rPr>
          <w:rFonts w:hint="eastAsia"/>
          <w:color w:val="000000"/>
          <w:lang w:bidi="ar"/>
        </w:rPr>
        <w:t xml:space="preserve"> 教育厅对高校基本建设规划的实施情况进行监测和评价，会同相关部门充分运用评价结果，在资金安排、项目申报等基本建设工作中统筹考虑。</w:t>
      </w:r>
    </w:p>
    <w:p w14:paraId="1961BF70">
      <w:pPr>
        <w:ind w:firstLine="640" w:firstLineChars="200"/>
        <w:rPr>
          <w:color w:val="000000"/>
        </w:rPr>
      </w:pPr>
    </w:p>
    <w:p w14:paraId="0677214C">
      <w:pPr>
        <w:spacing w:line="600" w:lineRule="exact"/>
        <w:jc w:val="center"/>
        <w:rPr>
          <w:rFonts w:eastAsia="黑体"/>
          <w:color w:val="000000"/>
        </w:rPr>
      </w:pPr>
      <w:r>
        <w:rPr>
          <w:rFonts w:hint="eastAsia" w:eastAsia="黑体"/>
          <w:color w:val="000000"/>
        </w:rPr>
        <w:t>第五章  附 则</w:t>
      </w:r>
    </w:p>
    <w:p w14:paraId="263F78F7">
      <w:pPr>
        <w:spacing w:line="600" w:lineRule="exact"/>
        <w:ind w:firstLine="643" w:firstLineChars="200"/>
        <w:rPr>
          <w:color w:val="000000"/>
          <w:lang w:bidi="ar"/>
        </w:rPr>
      </w:pPr>
      <w:r>
        <w:rPr>
          <w:rFonts w:hint="eastAsia"/>
          <w:b/>
          <w:color w:val="000000"/>
          <w:lang w:bidi="ar"/>
        </w:rPr>
        <w:t>第十二条</w:t>
      </w:r>
      <w:r>
        <w:rPr>
          <w:rFonts w:hint="eastAsia"/>
          <w:color w:val="000000"/>
          <w:lang w:bidi="ar"/>
        </w:rPr>
        <w:t xml:space="preserve"> 本办法由教育厅负责解释，国家、省投资主管部门对基本建设管理有新规定的，从其规定。本办法自2025年12月26日施行，有效期5年。高校基本建设管理相关规定与此不一致的，按此执行。</w:t>
      </w:r>
    </w:p>
    <w:p w14:paraId="54711B4A">
      <w:pPr>
        <w:ind w:firstLine="640" w:firstLineChars="200"/>
        <w:rPr>
          <w:color w:val="000000"/>
          <w:lang w:bidi="ar"/>
        </w:rPr>
      </w:pPr>
    </w:p>
    <w:p w14:paraId="549C9A0E">
      <w:pPr>
        <w:spacing w:line="600" w:lineRule="exact"/>
        <w:ind w:firstLine="640" w:firstLineChars="200"/>
        <w:rPr>
          <w:color w:val="000000"/>
          <w:lang w:bidi="ar"/>
        </w:rPr>
      </w:pPr>
      <w:r>
        <w:rPr>
          <w:rFonts w:hint="eastAsia"/>
          <w:color w:val="000000"/>
          <w:lang w:bidi="ar"/>
        </w:rPr>
        <w:t>附件：高校基本建设规划（编制框架）</w:t>
      </w:r>
    </w:p>
    <w:p w14:paraId="134EE041">
      <w:pPr>
        <w:rPr>
          <w:rFonts w:ascii="黑体" w:hAnsi="黑体" w:eastAsia="黑体"/>
        </w:rPr>
      </w:pPr>
      <w:r>
        <w:rPr>
          <w:rFonts w:hint="eastAsia" w:ascii="仿宋_GB2312"/>
          <w:color w:val="000000"/>
          <w:spacing w:val="1"/>
          <w:sz w:val="36"/>
          <w:szCs w:val="36"/>
        </w:rPr>
        <w:br w:type="page" w:clear="all"/>
      </w:r>
      <w:bookmarkStart w:id="2" w:name="FunCunProofread40772"/>
      <w:r>
        <w:rPr>
          <w:rFonts w:hint="eastAsia" w:ascii="黑体" w:hAnsi="黑体" w:eastAsia="黑体"/>
        </w:rPr>
        <w:t>附件</w:t>
      </w:r>
      <w:bookmarkEnd w:id="2"/>
    </w:p>
    <w:p w14:paraId="3616D6BF">
      <w:pPr>
        <w:rPr>
          <w:rFonts w:ascii="黑体" w:hAnsi="黑体" w:eastAsia="黑体"/>
        </w:rPr>
      </w:pPr>
    </w:p>
    <w:p w14:paraId="1E40F5A9">
      <w:pPr>
        <w:spacing w:line="800" w:lineRule="exact"/>
        <w:jc w:val="center"/>
        <w:rPr>
          <w:rFonts w:ascii="方正小标宋_GBK" w:hAnsi="黑体" w:eastAsia="方正小标宋_GBK"/>
          <w:bCs/>
          <w:color w:val="000000"/>
          <w:sz w:val="44"/>
          <w:szCs w:val="44"/>
        </w:rPr>
      </w:pPr>
      <w:r>
        <w:rPr>
          <w:rFonts w:ascii="方正小标宋_GBK" w:hAnsi="黑体" w:eastAsia="方正小标宋_GBK"/>
          <w:bCs/>
          <w:color w:val="000000"/>
          <w:sz w:val="44"/>
          <w:szCs w:val="44"/>
        </w:rPr>
        <w:t>高校基本建设规划（编制框架）</w:t>
      </w:r>
    </w:p>
    <w:p w14:paraId="46A67A54">
      <w:pPr>
        <w:rPr>
          <w:rFonts w:ascii="黑体" w:hAnsi="黑体" w:eastAsia="黑体"/>
        </w:rPr>
      </w:pPr>
    </w:p>
    <w:p w14:paraId="21433DAA">
      <w:pPr>
        <w:spacing w:line="520" w:lineRule="exact"/>
        <w:jc w:val="center"/>
        <w:rPr>
          <w:rFonts w:eastAsia="黑体"/>
          <w:color w:val="000000"/>
        </w:rPr>
      </w:pPr>
      <w:r>
        <w:rPr>
          <w:rFonts w:hint="eastAsia" w:eastAsia="黑体"/>
          <w:color w:val="000000"/>
        </w:rPr>
        <w:t>第一章  总 则</w:t>
      </w:r>
    </w:p>
    <w:p w14:paraId="758502E7">
      <w:pPr>
        <w:spacing w:line="520" w:lineRule="exact"/>
        <w:ind w:firstLine="640" w:firstLineChars="200"/>
        <w:rPr>
          <w:color w:val="000000"/>
        </w:rPr>
      </w:pPr>
      <w:r>
        <w:rPr>
          <w:rFonts w:hint="eastAsia"/>
          <w:color w:val="000000"/>
        </w:rPr>
        <w:t>包括编制主体、规划期限、指导思想、规划原则。</w:t>
      </w:r>
    </w:p>
    <w:p w14:paraId="4A92835D">
      <w:pPr>
        <w:ind w:firstLine="640" w:firstLineChars="200"/>
        <w:rPr>
          <w:color w:val="000000"/>
        </w:rPr>
      </w:pPr>
    </w:p>
    <w:p w14:paraId="5E9C8B77">
      <w:pPr>
        <w:spacing w:line="520" w:lineRule="exact"/>
        <w:jc w:val="center"/>
        <w:rPr>
          <w:rFonts w:eastAsia="黑体"/>
          <w:color w:val="000000"/>
        </w:rPr>
      </w:pPr>
      <w:r>
        <w:rPr>
          <w:rFonts w:hint="eastAsia" w:eastAsia="黑体"/>
          <w:color w:val="000000"/>
        </w:rPr>
        <w:t>第二章  学校概况</w:t>
      </w:r>
    </w:p>
    <w:p w14:paraId="048F00A6">
      <w:pPr>
        <w:spacing w:line="520" w:lineRule="exact"/>
        <w:ind w:firstLine="640" w:firstLineChars="200"/>
        <w:rPr>
          <w:color w:val="000000"/>
        </w:rPr>
      </w:pPr>
      <w:r>
        <w:rPr>
          <w:rFonts w:hint="eastAsia"/>
          <w:color w:val="000000"/>
        </w:rPr>
        <w:t>包括学校类别、历史沿革、办学特色、学科专业设置、办学规模和教职工人数等基本情况。</w:t>
      </w:r>
    </w:p>
    <w:p w14:paraId="6DF19B04">
      <w:pPr>
        <w:spacing w:line="520" w:lineRule="exact"/>
        <w:ind w:firstLine="640" w:firstLineChars="200"/>
        <w:rPr>
          <w:color w:val="000000"/>
        </w:rPr>
      </w:pPr>
      <w:r>
        <w:rPr>
          <w:rFonts w:hint="eastAsia"/>
          <w:color w:val="000000"/>
        </w:rPr>
        <w:t>学校现有办学条件，包括教学行政用房、生活设施、附属设施、经费收入来源等。上一个经济发展周期基本建设规划执行情况的总结和分析。</w:t>
      </w:r>
    </w:p>
    <w:p w14:paraId="51AB8554">
      <w:pPr>
        <w:ind w:firstLine="640" w:firstLineChars="200"/>
        <w:rPr>
          <w:color w:val="000000"/>
        </w:rPr>
      </w:pPr>
    </w:p>
    <w:p w14:paraId="53DA90B6">
      <w:pPr>
        <w:spacing w:line="520" w:lineRule="exact"/>
        <w:jc w:val="center"/>
        <w:rPr>
          <w:rFonts w:eastAsia="黑体"/>
          <w:color w:val="000000"/>
        </w:rPr>
      </w:pPr>
      <w:r>
        <w:rPr>
          <w:rFonts w:hint="eastAsia" w:eastAsia="黑体"/>
          <w:color w:val="000000"/>
        </w:rPr>
        <w:t>第三章  学校发展规划</w:t>
      </w:r>
    </w:p>
    <w:p w14:paraId="0DF5EB09">
      <w:pPr>
        <w:spacing w:line="520" w:lineRule="exact"/>
        <w:ind w:firstLine="640" w:firstLineChars="200"/>
        <w:rPr>
          <w:color w:val="000000"/>
        </w:rPr>
      </w:pPr>
      <w:r>
        <w:rPr>
          <w:rFonts w:hint="eastAsia"/>
          <w:color w:val="000000"/>
        </w:rPr>
        <w:t>学校事业发展规划、学科建设规划、师资队伍规划，服务国家发展战略的具体思路以及各校区办学功能定位。</w:t>
      </w:r>
    </w:p>
    <w:p w14:paraId="03DD677F">
      <w:pPr>
        <w:spacing w:line="520" w:lineRule="exact"/>
        <w:ind w:firstLine="640" w:firstLineChars="200"/>
        <w:rPr>
          <w:color w:val="000000"/>
        </w:rPr>
      </w:pPr>
      <w:r>
        <w:rPr>
          <w:rFonts w:hint="eastAsia"/>
          <w:color w:val="000000"/>
        </w:rPr>
        <w:t>根据事业发展需要，科学确定办学规模。</w:t>
      </w:r>
    </w:p>
    <w:p w14:paraId="2718D5B3">
      <w:pPr>
        <w:spacing w:line="520" w:lineRule="exact"/>
        <w:ind w:firstLine="640" w:firstLineChars="200"/>
        <w:rPr>
          <w:color w:val="000000"/>
        </w:rPr>
      </w:pPr>
      <w:r>
        <w:rPr>
          <w:rFonts w:hint="eastAsia"/>
          <w:color w:val="000000"/>
        </w:rPr>
        <w:t>学校办学规模的复核情况。</w:t>
      </w:r>
    </w:p>
    <w:p w14:paraId="6D5DB156">
      <w:pPr>
        <w:ind w:firstLine="640" w:firstLineChars="200"/>
        <w:rPr>
          <w:color w:val="000000"/>
        </w:rPr>
      </w:pPr>
    </w:p>
    <w:p w14:paraId="05AE534C">
      <w:pPr>
        <w:spacing w:line="520" w:lineRule="exact"/>
        <w:jc w:val="center"/>
        <w:rPr>
          <w:rFonts w:eastAsia="黑体"/>
          <w:color w:val="000000"/>
        </w:rPr>
      </w:pPr>
      <w:r>
        <w:rPr>
          <w:rFonts w:hint="eastAsia" w:eastAsia="黑体"/>
          <w:color w:val="000000"/>
        </w:rPr>
        <w:t>第四章  需求分析和建设规模</w:t>
      </w:r>
    </w:p>
    <w:p w14:paraId="7FA7E376">
      <w:pPr>
        <w:spacing w:line="520" w:lineRule="exact"/>
        <w:ind w:firstLine="640" w:firstLineChars="200"/>
        <w:rPr>
          <w:rFonts w:eastAsia="楷体_GB2312"/>
          <w:color w:val="000000"/>
        </w:rPr>
      </w:pPr>
      <w:r>
        <w:rPr>
          <w:rFonts w:hint="eastAsia" w:eastAsia="楷体_GB2312"/>
          <w:color w:val="000000"/>
        </w:rPr>
        <w:t>一、学校需求分析</w:t>
      </w:r>
    </w:p>
    <w:p w14:paraId="130EC3FD">
      <w:pPr>
        <w:spacing w:line="520" w:lineRule="exact"/>
        <w:ind w:firstLine="640" w:firstLineChars="200"/>
        <w:rPr>
          <w:color w:val="000000"/>
        </w:rPr>
      </w:pPr>
      <w:r>
        <w:rPr>
          <w:rFonts w:hint="eastAsia"/>
          <w:color w:val="000000"/>
        </w:rPr>
        <w:t>满足现有办学规模和发展规模、学科和师资队伍建设需要的办学用地用房需求情况，满足服务国家发展战略的各类用房需求情况。</w:t>
      </w:r>
    </w:p>
    <w:p w14:paraId="1DED3A0D">
      <w:pPr>
        <w:spacing w:line="540" w:lineRule="exact"/>
        <w:ind w:firstLine="640" w:firstLineChars="200"/>
        <w:rPr>
          <w:rFonts w:eastAsia="楷体_GB2312"/>
          <w:color w:val="000000"/>
        </w:rPr>
      </w:pPr>
      <w:r>
        <w:rPr>
          <w:rFonts w:hint="eastAsia" w:eastAsia="楷体_GB2312"/>
          <w:color w:val="000000"/>
        </w:rPr>
        <w:t>二、建设规模测算</w:t>
      </w:r>
    </w:p>
    <w:p w14:paraId="06305E02">
      <w:pPr>
        <w:spacing w:line="540" w:lineRule="exact"/>
        <w:ind w:firstLine="640" w:firstLineChars="200"/>
        <w:rPr>
          <w:color w:val="000000"/>
        </w:rPr>
      </w:pPr>
      <w:r>
        <w:rPr>
          <w:rFonts w:hint="eastAsia"/>
          <w:color w:val="000000"/>
        </w:rPr>
        <w:t>根据</w:t>
      </w:r>
      <w:r>
        <w:rPr>
          <w:rFonts w:hint="eastAsia"/>
          <w:color w:val="000000"/>
          <w:lang w:bidi="ar"/>
        </w:rPr>
        <w:t>复核</w:t>
      </w:r>
      <w:r>
        <w:rPr>
          <w:rFonts w:hint="eastAsia"/>
          <w:color w:val="000000"/>
        </w:rPr>
        <w:t>的办学规模，普通本科高校按照《普通高等学校建筑面积指标》（建标191-2018），高等职业学校按照《高等职业学校建设标准》（建标197-2019）确定校舍面积上限，综合测算各类功能用房的建筑面积。</w:t>
      </w:r>
    </w:p>
    <w:p w14:paraId="66957A78">
      <w:pPr>
        <w:spacing w:line="540" w:lineRule="exact"/>
        <w:ind w:firstLine="640" w:firstLineChars="200"/>
        <w:rPr>
          <w:color w:val="000000"/>
        </w:rPr>
      </w:pPr>
      <w:r>
        <w:rPr>
          <w:rFonts w:hint="eastAsia"/>
          <w:color w:val="000000"/>
        </w:rPr>
        <w:t>结合现有办学条件，按照校舍类别计算可建设面积。综合考虑可建设校舍、土地资源、学校发展规划等情况，进行学校基本建设规划，测算建设规模。</w:t>
      </w:r>
    </w:p>
    <w:p w14:paraId="7FB578BF">
      <w:pPr>
        <w:ind w:firstLine="640" w:firstLineChars="200"/>
        <w:rPr>
          <w:color w:val="000000"/>
        </w:rPr>
      </w:pPr>
    </w:p>
    <w:p w14:paraId="2269220B">
      <w:pPr>
        <w:spacing w:line="540" w:lineRule="exact"/>
        <w:jc w:val="center"/>
        <w:rPr>
          <w:rFonts w:eastAsia="黑体"/>
          <w:color w:val="000000"/>
        </w:rPr>
      </w:pPr>
      <w:r>
        <w:rPr>
          <w:rFonts w:hint="eastAsia" w:eastAsia="黑体"/>
          <w:color w:val="000000"/>
        </w:rPr>
        <w:t>第五章  建设内容</w:t>
      </w:r>
    </w:p>
    <w:p w14:paraId="2183BA2C">
      <w:pPr>
        <w:spacing w:line="540" w:lineRule="exact"/>
        <w:ind w:firstLine="640" w:firstLineChars="200"/>
        <w:rPr>
          <w:rFonts w:eastAsia="楷体_GB2312"/>
          <w:color w:val="000000"/>
        </w:rPr>
      </w:pPr>
      <w:r>
        <w:rPr>
          <w:rFonts w:hint="eastAsia" w:eastAsia="楷体_GB2312"/>
          <w:color w:val="000000"/>
        </w:rPr>
        <w:t>一、建设目标</w:t>
      </w:r>
    </w:p>
    <w:p w14:paraId="0E17C6F9">
      <w:pPr>
        <w:spacing w:line="540" w:lineRule="exact"/>
        <w:ind w:firstLine="640" w:firstLineChars="200"/>
        <w:rPr>
          <w:color w:val="000000"/>
        </w:rPr>
      </w:pPr>
      <w:r>
        <w:rPr>
          <w:rFonts w:hint="eastAsia"/>
          <w:color w:val="000000"/>
        </w:rPr>
        <w:t>基本建设项目的建设目标。</w:t>
      </w:r>
    </w:p>
    <w:p w14:paraId="245BEC91">
      <w:pPr>
        <w:spacing w:line="540" w:lineRule="exact"/>
        <w:ind w:firstLine="640" w:firstLineChars="200"/>
        <w:rPr>
          <w:rFonts w:eastAsia="楷体_GB2312"/>
          <w:color w:val="000000"/>
        </w:rPr>
      </w:pPr>
      <w:r>
        <w:rPr>
          <w:rFonts w:hint="eastAsia" w:eastAsia="楷体_GB2312"/>
          <w:color w:val="000000"/>
        </w:rPr>
        <w:t>二、建设项目</w:t>
      </w:r>
    </w:p>
    <w:p w14:paraId="694FD4AA">
      <w:pPr>
        <w:spacing w:line="540" w:lineRule="exact"/>
        <w:ind w:firstLine="640" w:firstLineChars="200"/>
        <w:rPr>
          <w:color w:val="000000"/>
        </w:rPr>
      </w:pPr>
      <w:r>
        <w:rPr>
          <w:rFonts w:hint="eastAsia"/>
          <w:color w:val="000000"/>
        </w:rPr>
        <w:t>根据建设规模进行建设项目的规划，围绕服务国家发展战略、服务学校全面深化综合改革、保障学校基本办学条件等陈述实施的必要性。编制五年期基本建设规划项目一览表，包括项目的名称、规模、占地、高度、功能布局与面积占比、进度计划、预期效益等。</w:t>
      </w:r>
    </w:p>
    <w:p w14:paraId="2BA180F9">
      <w:pPr>
        <w:spacing w:line="540" w:lineRule="exact"/>
        <w:ind w:firstLine="640" w:firstLineChars="200"/>
        <w:rPr>
          <w:rFonts w:eastAsia="楷体_GB2312"/>
          <w:color w:val="000000"/>
        </w:rPr>
      </w:pPr>
      <w:r>
        <w:rPr>
          <w:rFonts w:hint="eastAsia" w:eastAsia="楷体_GB2312"/>
          <w:color w:val="000000"/>
        </w:rPr>
        <w:t>三、项目用地</w:t>
      </w:r>
    </w:p>
    <w:p w14:paraId="71D5D4F5">
      <w:pPr>
        <w:spacing w:line="540" w:lineRule="exact"/>
        <w:ind w:firstLine="640" w:firstLineChars="200"/>
        <w:rPr>
          <w:rFonts w:hint="eastAsia"/>
          <w:color w:val="000000"/>
        </w:rPr>
      </w:pPr>
      <w:r>
        <w:rPr>
          <w:rFonts w:hint="eastAsia"/>
          <w:color w:val="000000"/>
        </w:rPr>
        <w:t>规划项目用地位置和范围，包括具体位置、总用地面积、国土空间规划（总体规划、详细规划、相关专项规划）符合性和相关图件等。</w:t>
      </w:r>
    </w:p>
    <w:p w14:paraId="794B4865">
      <w:pPr>
        <w:spacing w:line="540" w:lineRule="exact"/>
        <w:ind w:firstLine="640" w:firstLineChars="200"/>
        <w:rPr>
          <w:color w:val="000000"/>
        </w:rPr>
      </w:pPr>
    </w:p>
    <w:p w14:paraId="34C0B2F6">
      <w:pPr>
        <w:spacing w:line="540" w:lineRule="exact"/>
        <w:jc w:val="center"/>
        <w:rPr>
          <w:rFonts w:eastAsia="黑体"/>
          <w:color w:val="000000"/>
        </w:rPr>
      </w:pPr>
      <w:r>
        <w:rPr>
          <w:rFonts w:hint="eastAsia" w:eastAsia="黑体"/>
          <w:color w:val="000000"/>
        </w:rPr>
        <w:t>第六章  项目组织管理</w:t>
      </w:r>
    </w:p>
    <w:p w14:paraId="171B3976">
      <w:pPr>
        <w:spacing w:line="540" w:lineRule="exact"/>
        <w:ind w:firstLine="640" w:firstLineChars="200"/>
        <w:rPr>
          <w:rFonts w:eastAsia="楷体_GB2312"/>
          <w:color w:val="000000"/>
        </w:rPr>
      </w:pPr>
      <w:r>
        <w:rPr>
          <w:rFonts w:hint="eastAsia" w:eastAsia="楷体_GB2312"/>
          <w:color w:val="000000"/>
        </w:rPr>
        <w:t>一、项目实施计划</w:t>
      </w:r>
    </w:p>
    <w:p w14:paraId="1F1F1CEC">
      <w:pPr>
        <w:spacing w:line="520" w:lineRule="exact"/>
        <w:ind w:firstLine="640" w:firstLineChars="200"/>
        <w:rPr>
          <w:color w:val="000000"/>
        </w:rPr>
      </w:pPr>
      <w:r>
        <w:rPr>
          <w:rFonts w:hint="eastAsia"/>
          <w:color w:val="000000"/>
        </w:rPr>
        <w:t>根据建设规模和建设内容，结合前期工作基础，按照事业发展轻重缓急和项目成熟度，编制项目实施计划。</w:t>
      </w:r>
    </w:p>
    <w:p w14:paraId="688B5804">
      <w:pPr>
        <w:spacing w:line="520" w:lineRule="exact"/>
        <w:ind w:firstLine="640" w:firstLineChars="200"/>
        <w:rPr>
          <w:rFonts w:eastAsia="楷体_GB2312"/>
          <w:color w:val="000000"/>
        </w:rPr>
      </w:pPr>
      <w:r>
        <w:rPr>
          <w:rFonts w:hint="eastAsia" w:eastAsia="楷体_GB2312"/>
          <w:color w:val="000000"/>
        </w:rPr>
        <w:t>二、组织保障措施</w:t>
      </w:r>
    </w:p>
    <w:p w14:paraId="6A8961DD">
      <w:pPr>
        <w:spacing w:line="520" w:lineRule="exact"/>
        <w:ind w:firstLine="640" w:firstLineChars="200"/>
        <w:rPr>
          <w:color w:val="000000"/>
        </w:rPr>
      </w:pPr>
      <w:r>
        <w:rPr>
          <w:rFonts w:hint="eastAsia"/>
          <w:color w:val="000000"/>
        </w:rPr>
        <w:t>明确项目实施的支持保障措施。</w:t>
      </w:r>
    </w:p>
    <w:p w14:paraId="0500A99C">
      <w:pPr>
        <w:ind w:firstLine="640" w:firstLineChars="200"/>
        <w:rPr>
          <w:color w:val="000000"/>
        </w:rPr>
      </w:pPr>
    </w:p>
    <w:p w14:paraId="579DD593">
      <w:pPr>
        <w:spacing w:line="520" w:lineRule="exact"/>
        <w:jc w:val="center"/>
        <w:rPr>
          <w:rFonts w:eastAsia="黑体"/>
          <w:color w:val="000000"/>
        </w:rPr>
      </w:pPr>
      <w:r>
        <w:rPr>
          <w:rFonts w:hint="eastAsia" w:eastAsia="黑体"/>
          <w:color w:val="000000"/>
        </w:rPr>
        <w:t>第七章  投资估算与资金保障</w:t>
      </w:r>
    </w:p>
    <w:p w14:paraId="7DA4D6E3">
      <w:pPr>
        <w:spacing w:line="520" w:lineRule="exact"/>
        <w:ind w:firstLine="640" w:firstLineChars="200"/>
        <w:rPr>
          <w:rFonts w:eastAsia="楷体_GB2312"/>
          <w:color w:val="000000"/>
        </w:rPr>
      </w:pPr>
      <w:r>
        <w:rPr>
          <w:rFonts w:hint="eastAsia" w:eastAsia="楷体_GB2312"/>
          <w:color w:val="000000"/>
        </w:rPr>
        <w:t>一、投资估算</w:t>
      </w:r>
    </w:p>
    <w:p w14:paraId="6F0BEE66">
      <w:pPr>
        <w:spacing w:line="520" w:lineRule="exact"/>
        <w:ind w:firstLine="640" w:firstLineChars="200"/>
        <w:rPr>
          <w:color w:val="000000"/>
        </w:rPr>
      </w:pPr>
      <w:r>
        <w:rPr>
          <w:rFonts w:hint="eastAsia"/>
          <w:color w:val="000000"/>
        </w:rPr>
        <w:t>具体说明主要经济技术指标，包括投资总规模测算、分期投资估算以</w:t>
      </w:r>
      <w:bookmarkStart w:id="3" w:name="FunCunProofread500627"/>
      <w:r>
        <w:rPr>
          <w:rFonts w:hint="eastAsia"/>
          <w:color w:val="000000"/>
        </w:rPr>
        <w:t>及单方造价说明。</w:t>
      </w:r>
    </w:p>
    <w:p w14:paraId="4C4B591D">
      <w:pPr>
        <w:spacing w:line="520" w:lineRule="exact"/>
        <w:ind w:firstLine="640" w:firstLineChars="200"/>
        <w:rPr>
          <w:rFonts w:eastAsia="楷体_GB2312"/>
          <w:color w:val="000000"/>
        </w:rPr>
      </w:pPr>
      <w:r>
        <w:rPr>
          <w:rFonts w:hint="eastAsia" w:eastAsia="楷体_GB2312"/>
          <w:color w:val="000000"/>
        </w:rPr>
        <w:t>二、资金筹措方案</w:t>
      </w:r>
    </w:p>
    <w:p w14:paraId="2B92BE7E">
      <w:pPr>
        <w:spacing w:line="520" w:lineRule="exact"/>
        <w:ind w:firstLine="640" w:firstLineChars="200"/>
        <w:rPr>
          <w:color w:val="000000"/>
        </w:rPr>
      </w:pPr>
      <w:r>
        <w:rPr>
          <w:rFonts w:hint="eastAsia"/>
          <w:color w:val="000000"/>
        </w:rPr>
        <w:t>学校近三年财务状况</w:t>
      </w:r>
      <w:bookmarkEnd w:id="3"/>
      <w:r>
        <w:rPr>
          <w:rFonts w:hint="eastAsia"/>
          <w:color w:val="000000"/>
        </w:rPr>
        <w:t>，说明资金来源及筹措方案。</w:t>
      </w:r>
    </w:p>
    <w:p w14:paraId="3596DDB8">
      <w:pPr>
        <w:rPr>
          <w:color w:val="000000"/>
        </w:rPr>
      </w:pPr>
    </w:p>
    <w:p w14:paraId="1DE9DDE9">
      <w:pPr>
        <w:spacing w:line="520" w:lineRule="exact"/>
        <w:ind w:firstLine="640" w:firstLineChars="200"/>
        <w:rPr>
          <w:rFonts w:hint="eastAsia"/>
          <w:color w:val="000000"/>
        </w:rPr>
      </w:pPr>
      <w:r>
        <w:rPr>
          <w:rFonts w:hint="eastAsia"/>
          <w:color w:val="000000"/>
        </w:rPr>
        <w:t>附件：建设工程设计方案总平面图</w:t>
      </w:r>
    </w:p>
    <w:p w14:paraId="211CDE3F">
      <w:pPr>
        <w:spacing w:line="520" w:lineRule="exact"/>
        <w:ind w:firstLine="640" w:firstLineChars="200"/>
        <w:rPr>
          <w:rFonts w:hint="eastAsia"/>
          <w:color w:val="000000"/>
        </w:rPr>
      </w:pPr>
    </w:p>
    <w:p w14:paraId="454E182E">
      <w:pPr>
        <w:spacing w:line="520" w:lineRule="exact"/>
        <w:ind w:firstLine="640" w:firstLineChars="200"/>
        <w:rPr>
          <w:rFonts w:hint="eastAsia"/>
          <w:color w:val="000000"/>
        </w:rPr>
      </w:pPr>
    </w:p>
    <w:p w14:paraId="6A360A7F">
      <w:pPr>
        <w:spacing w:line="520" w:lineRule="exact"/>
        <w:ind w:firstLine="640" w:firstLineChars="200"/>
        <w:rPr>
          <w:rFonts w:hint="eastAsia"/>
          <w:color w:val="000000"/>
        </w:rPr>
      </w:pPr>
    </w:p>
    <w:p w14:paraId="4B8C71C1">
      <w:pPr>
        <w:ind w:firstLine="640" w:firstLineChars="200"/>
        <w:rPr>
          <w:rFonts w:ascii="仿宋_GB2312"/>
        </w:rPr>
      </w:pPr>
    </w:p>
    <w:p w14:paraId="01F30B76">
      <w:pPr>
        <w:ind w:firstLine="640" w:firstLineChars="200"/>
        <w:rPr>
          <w:rFonts w:hint="eastAsia"/>
        </w:rPr>
      </w:pPr>
    </w:p>
    <w:p w14:paraId="426A187B">
      <w:pPr>
        <w:ind w:firstLine="640" w:firstLineChars="200"/>
      </w:pPr>
      <w:bookmarkStart w:id="6" w:name="_GoBack"/>
      <w:bookmarkEnd w:id="6"/>
    </w:p>
    <w:sectPr>
      <w:footerReference r:id="rId4" w:type="default"/>
      <w:type w:val="continuous"/>
      <w:pgSz w:w="11907" w:h="16840"/>
      <w:pgMar w:top="2098" w:right="1474" w:bottom="1985" w:left="1588" w:header="1701" w:footer="1588"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93485">
    <w:pPr>
      <w:pStyle w:val="18"/>
      <w:framePr w:wrap="around" w:vAnchor="text" w:hAnchor="margin" w:xAlign="outside" w:y="1"/>
      <w:ind w:left="320" w:leftChars="100" w:right="320" w:rightChars="100"/>
      <w:rPr>
        <w:rStyle w:val="33"/>
        <w:rFonts w:ascii="宋体" w:hAnsi="宋体" w:eastAsia="宋体"/>
        <w:sz w:val="28"/>
        <w:szCs w:val="28"/>
      </w:rPr>
    </w:pPr>
    <w:bookmarkStart w:id="4" w:name="OLE_LINK2"/>
    <w:bookmarkStart w:id="5" w:name="OLE_LINK1"/>
    <w:r>
      <w:rPr>
        <w:rStyle w:val="33"/>
        <w:rFonts w:hint="eastAsia" w:ascii="宋体" w:hAnsi="宋体" w:eastAsia="宋体"/>
        <w:sz w:val="28"/>
        <w:szCs w:val="28"/>
      </w:rPr>
      <w:t xml:space="preserve">— </w:t>
    </w:r>
    <w:r>
      <w:fldChar w:fldCharType="begin"/>
    </w:r>
    <w:r>
      <w:rPr>
        <w:rStyle w:val="33"/>
        <w:rFonts w:hint="eastAsia" w:ascii="宋体" w:hAnsi="宋体" w:eastAsia="宋体"/>
        <w:sz w:val="28"/>
        <w:szCs w:val="28"/>
      </w:rPr>
      <w:instrText xml:space="preserve">PAGE  </w:instrText>
    </w:r>
    <w:r>
      <w:fldChar w:fldCharType="separate"/>
    </w:r>
    <w:r>
      <w:rPr>
        <w:rStyle w:val="33"/>
        <w:rFonts w:ascii="宋体" w:hAnsi="宋体" w:eastAsia="宋体"/>
        <w:sz w:val="28"/>
        <w:szCs w:val="28"/>
      </w:rPr>
      <w:t>6</w:t>
    </w:r>
    <w:r>
      <w:fldChar w:fldCharType="end"/>
    </w:r>
    <w:r>
      <w:rPr>
        <w:rStyle w:val="33"/>
        <w:rFonts w:hint="eastAsia" w:ascii="宋体" w:hAnsi="宋体" w:eastAsia="宋体"/>
        <w:sz w:val="28"/>
        <w:szCs w:val="28"/>
      </w:rPr>
      <w:t xml:space="preserve"> —</w:t>
    </w:r>
    <w:bookmarkEnd w:id="4"/>
    <w:bookmarkEnd w:id="5"/>
  </w:p>
  <w:p w14:paraId="2170A608">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F84E1">
    <w:pPr>
      <w:pStyle w:val="18"/>
      <w:framePr w:wrap="around" w:vAnchor="text" w:hAnchor="margin" w:xAlign="outside" w:y="1"/>
      <w:ind w:left="320" w:leftChars="100" w:right="320" w:rightChars="100"/>
      <w:rPr>
        <w:rStyle w:val="33"/>
        <w:rFonts w:ascii="宋体" w:hAnsi="宋体" w:eastAsia="宋体"/>
        <w:sz w:val="28"/>
        <w:szCs w:val="28"/>
      </w:rPr>
    </w:pPr>
    <w:r>
      <w:rPr>
        <w:rStyle w:val="33"/>
        <w:rFonts w:hint="eastAsia" w:ascii="宋体" w:hAnsi="宋体" w:eastAsia="宋体"/>
        <w:sz w:val="28"/>
        <w:szCs w:val="28"/>
      </w:rPr>
      <w:t xml:space="preserve">— </w:t>
    </w:r>
    <w:r>
      <w:fldChar w:fldCharType="begin"/>
    </w:r>
    <w:r>
      <w:rPr>
        <w:rStyle w:val="33"/>
        <w:rFonts w:hint="eastAsia" w:ascii="宋体" w:hAnsi="宋体" w:eastAsia="宋体"/>
        <w:sz w:val="28"/>
        <w:szCs w:val="28"/>
      </w:rPr>
      <w:instrText xml:space="preserve">PAGE  </w:instrText>
    </w:r>
    <w:r>
      <w:fldChar w:fldCharType="separate"/>
    </w:r>
    <w:r>
      <w:rPr>
        <w:rStyle w:val="33"/>
        <w:rFonts w:ascii="宋体" w:hAnsi="宋体" w:eastAsia="宋体"/>
        <w:sz w:val="28"/>
        <w:szCs w:val="28"/>
      </w:rPr>
      <w:t>5</w:t>
    </w:r>
    <w:r>
      <w:fldChar w:fldCharType="end"/>
    </w:r>
    <w:r>
      <w:rPr>
        <w:rStyle w:val="33"/>
        <w:rFonts w:hint="eastAsia" w:ascii="宋体" w:hAnsi="宋体" w:eastAsia="宋体"/>
        <w:sz w:val="28"/>
        <w:szCs w:val="28"/>
      </w:rPr>
      <w:t xml:space="preserve"> —</w:t>
    </w:r>
  </w:p>
  <w:p w14:paraId="56BDB53A">
    <w:pPr>
      <w:pStyle w:val="1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evenAndOddHeaders w:val="1"/>
  <w:drawingGridHorizontalSpacing w:val="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D42A3C"/>
    <w:rsid w:val="BFFF1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qFormat="1" w:uiPriority="39" w:semiHidden="0" w:name="toc 4"/>
    <w:lsdException w:uiPriority="39" w:semiHidden="0" w:name="toc 5"/>
    <w:lsdException w:qFormat="1"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仿宋_GB2312" w:cs="Times New Roman"/>
      <w:kern w:val="2"/>
      <w:sz w:val="32"/>
      <w:szCs w:val="32"/>
    </w:rPr>
  </w:style>
  <w:style w:type="paragraph" w:styleId="2">
    <w:name w:val="heading 1"/>
    <w:basedOn w:val="1"/>
    <w:next w:val="1"/>
    <w:link w:val="51"/>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52"/>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53"/>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54"/>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55"/>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56"/>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57"/>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58"/>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59"/>
    <w:unhideWhenUsed/>
    <w:qFormat/>
    <w:uiPriority w:val="9"/>
    <w:pPr>
      <w:keepNext/>
      <w:keepLines/>
      <w:spacing w:before="320" w:after="200"/>
      <w:outlineLvl w:val="8"/>
    </w:pPr>
    <w:rPr>
      <w:rFonts w:ascii="Arial" w:hAnsi="Arial" w:eastAsia="Arial" w:cs="Arial"/>
      <w:i/>
      <w:iCs/>
      <w:sz w:val="21"/>
      <w:szCs w:val="21"/>
    </w:r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uiPriority w:val="39"/>
    <w:pPr>
      <w:spacing w:after="57"/>
      <w:ind w:left="1701"/>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uiPriority w:val="39"/>
    <w:pPr>
      <w:spacing w:after="57"/>
      <w:ind w:left="1134"/>
    </w:pPr>
  </w:style>
  <w:style w:type="paragraph" w:styleId="14">
    <w:name w:val="toc 3"/>
    <w:basedOn w:val="1"/>
    <w:next w:val="1"/>
    <w:unhideWhenUsed/>
    <w:qFormat/>
    <w:uiPriority w:val="39"/>
    <w:pPr>
      <w:spacing w:after="57"/>
      <w:ind w:left="567"/>
    </w:pPr>
  </w:style>
  <w:style w:type="paragraph" w:styleId="15">
    <w:name w:val="toc 8"/>
    <w:basedOn w:val="1"/>
    <w:next w:val="1"/>
    <w:unhideWhenUsed/>
    <w:uiPriority w:val="39"/>
    <w:pPr>
      <w:spacing w:after="57"/>
      <w:ind w:left="1984"/>
    </w:pPr>
  </w:style>
  <w:style w:type="paragraph" w:styleId="16">
    <w:name w:val="endnote text"/>
    <w:basedOn w:val="1"/>
    <w:link w:val="197"/>
    <w:semiHidden/>
    <w:unhideWhenUsed/>
    <w:uiPriority w:val="99"/>
    <w:rPr>
      <w:sz w:val="20"/>
    </w:rPr>
  </w:style>
  <w:style w:type="paragraph" w:styleId="17">
    <w:name w:val="Balloon Text"/>
    <w:basedOn w:val="1"/>
    <w:link w:val="201"/>
    <w:uiPriority w:val="0"/>
    <w:rPr>
      <w:sz w:val="18"/>
      <w:szCs w:val="18"/>
    </w:rPr>
  </w:style>
  <w:style w:type="paragraph" w:styleId="18">
    <w:name w:val="footer"/>
    <w:basedOn w:val="1"/>
    <w:link w:val="200"/>
    <w:qFormat/>
    <w:uiPriority w:val="99"/>
    <w:pPr>
      <w:tabs>
        <w:tab w:val="center" w:pos="4153"/>
        <w:tab w:val="right" w:pos="8306"/>
      </w:tabs>
      <w:snapToGrid w:val="0"/>
      <w:jc w:val="left"/>
    </w:pPr>
    <w:rPr>
      <w:sz w:val="18"/>
      <w:szCs w:val="18"/>
    </w:rPr>
  </w:style>
  <w:style w:type="paragraph" w:styleId="19">
    <w:name w:val="header"/>
    <w:basedOn w:val="1"/>
    <w:link w:val="199"/>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uiPriority w:val="39"/>
    <w:pPr>
      <w:spacing w:after="57"/>
    </w:pPr>
  </w:style>
  <w:style w:type="paragraph" w:styleId="21">
    <w:name w:val="toc 4"/>
    <w:basedOn w:val="1"/>
    <w:next w:val="1"/>
    <w:unhideWhenUsed/>
    <w:qFormat/>
    <w:uiPriority w:val="39"/>
    <w:pPr>
      <w:spacing w:after="57"/>
      <w:ind w:left="850"/>
    </w:pPr>
  </w:style>
  <w:style w:type="paragraph" w:styleId="22">
    <w:name w:val="Subtitle"/>
    <w:basedOn w:val="1"/>
    <w:next w:val="1"/>
    <w:link w:val="63"/>
    <w:qFormat/>
    <w:uiPriority w:val="11"/>
    <w:pPr>
      <w:spacing w:before="200" w:after="200"/>
    </w:pPr>
    <w:rPr>
      <w:sz w:val="24"/>
      <w:szCs w:val="24"/>
    </w:rPr>
  </w:style>
  <w:style w:type="paragraph" w:styleId="23">
    <w:name w:val="footnote text"/>
    <w:basedOn w:val="1"/>
    <w:link w:val="196"/>
    <w:semiHidden/>
    <w:unhideWhenUsed/>
    <w:uiPriority w:val="99"/>
    <w:pPr>
      <w:spacing w:after="40"/>
    </w:pPr>
    <w:rPr>
      <w:sz w:val="18"/>
    </w:rPr>
  </w:style>
  <w:style w:type="paragraph" w:styleId="24">
    <w:name w:val="toc 6"/>
    <w:basedOn w:val="1"/>
    <w:next w:val="1"/>
    <w:unhideWhenUsed/>
    <w:qFormat/>
    <w:uiPriority w:val="39"/>
    <w:pPr>
      <w:spacing w:after="57"/>
      <w:ind w:left="1417"/>
    </w:pPr>
  </w:style>
  <w:style w:type="paragraph" w:styleId="25">
    <w:name w:val="table of figures"/>
    <w:basedOn w:val="1"/>
    <w:next w:val="1"/>
    <w:unhideWhenUsed/>
    <w:uiPriority w:val="99"/>
  </w:style>
  <w:style w:type="paragraph" w:styleId="26">
    <w:name w:val="toc 2"/>
    <w:basedOn w:val="1"/>
    <w:next w:val="1"/>
    <w:unhideWhenUsed/>
    <w:qFormat/>
    <w:uiPriority w:val="39"/>
    <w:pPr>
      <w:spacing w:after="57"/>
      <w:ind w:left="283"/>
    </w:pPr>
  </w:style>
  <w:style w:type="paragraph" w:styleId="27">
    <w:name w:val="toc 9"/>
    <w:basedOn w:val="1"/>
    <w:next w:val="1"/>
    <w:unhideWhenUsed/>
    <w:uiPriority w:val="39"/>
    <w:pPr>
      <w:spacing w:after="57"/>
      <w:ind w:left="2268"/>
    </w:pPr>
  </w:style>
  <w:style w:type="paragraph" w:styleId="28">
    <w:name w:val="Title"/>
    <w:basedOn w:val="1"/>
    <w:next w:val="1"/>
    <w:link w:val="62"/>
    <w:qFormat/>
    <w:uiPriority w:val="10"/>
    <w:pPr>
      <w:spacing w:before="300" w:after="200"/>
      <w:contextualSpacing/>
    </w:pPr>
    <w:rPr>
      <w:sz w:val="48"/>
      <w:szCs w:val="48"/>
    </w:rPr>
  </w:style>
  <w:style w:type="table" w:styleId="30">
    <w:name w:val="Table Grid"/>
    <w:basedOn w:val="2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endnote reference"/>
    <w:basedOn w:val="31"/>
    <w:semiHidden/>
    <w:unhideWhenUsed/>
    <w:uiPriority w:val="99"/>
    <w:rPr>
      <w:vertAlign w:val="superscript"/>
    </w:rPr>
  </w:style>
  <w:style w:type="character" w:styleId="33">
    <w:name w:val="page number"/>
    <w:qFormat/>
    <w:uiPriority w:val="99"/>
  </w:style>
  <w:style w:type="character" w:styleId="34">
    <w:name w:val="Hyperlink"/>
    <w:unhideWhenUsed/>
    <w:uiPriority w:val="99"/>
    <w:rPr>
      <w:color w:val="0000FF" w:themeColor="hyperlink"/>
      <w:u w:val="single"/>
      <w14:textFill>
        <w14:solidFill>
          <w14:schemeClr w14:val="hlink"/>
        </w14:solidFill>
      </w14:textFill>
    </w:rPr>
  </w:style>
  <w:style w:type="character" w:styleId="35">
    <w:name w:val="footnote reference"/>
    <w:basedOn w:val="31"/>
    <w:unhideWhenUsed/>
    <w:uiPriority w:val="99"/>
    <w:rPr>
      <w:vertAlign w:val="superscript"/>
    </w:rPr>
  </w:style>
  <w:style w:type="character" w:customStyle="1" w:styleId="36">
    <w:name w:val="Heading 1 Char"/>
    <w:basedOn w:val="31"/>
    <w:qFormat/>
    <w:uiPriority w:val="9"/>
    <w:rPr>
      <w:rFonts w:ascii="Arial" w:hAnsi="Arial" w:eastAsia="Arial" w:cs="Arial"/>
      <w:sz w:val="40"/>
      <w:szCs w:val="40"/>
    </w:rPr>
  </w:style>
  <w:style w:type="character" w:customStyle="1" w:styleId="37">
    <w:name w:val="Heading 2 Char"/>
    <w:basedOn w:val="31"/>
    <w:qFormat/>
    <w:uiPriority w:val="9"/>
    <w:rPr>
      <w:rFonts w:ascii="Arial" w:hAnsi="Arial" w:eastAsia="Arial" w:cs="Arial"/>
      <w:sz w:val="34"/>
    </w:rPr>
  </w:style>
  <w:style w:type="character" w:customStyle="1" w:styleId="38">
    <w:name w:val="Heading 3 Char"/>
    <w:basedOn w:val="31"/>
    <w:qFormat/>
    <w:uiPriority w:val="9"/>
    <w:rPr>
      <w:rFonts w:ascii="Arial" w:hAnsi="Arial" w:eastAsia="Arial" w:cs="Arial"/>
      <w:sz w:val="30"/>
      <w:szCs w:val="30"/>
    </w:rPr>
  </w:style>
  <w:style w:type="character" w:customStyle="1" w:styleId="39">
    <w:name w:val="Heading 4 Char"/>
    <w:basedOn w:val="31"/>
    <w:qFormat/>
    <w:uiPriority w:val="9"/>
    <w:rPr>
      <w:rFonts w:ascii="Arial" w:hAnsi="Arial" w:eastAsia="Arial" w:cs="Arial"/>
      <w:b/>
      <w:bCs/>
      <w:sz w:val="26"/>
      <w:szCs w:val="26"/>
    </w:rPr>
  </w:style>
  <w:style w:type="character" w:customStyle="1" w:styleId="40">
    <w:name w:val="Heading 5 Char"/>
    <w:basedOn w:val="31"/>
    <w:qFormat/>
    <w:uiPriority w:val="9"/>
    <w:rPr>
      <w:rFonts w:ascii="Arial" w:hAnsi="Arial" w:eastAsia="Arial" w:cs="Arial"/>
      <w:b/>
      <w:bCs/>
      <w:sz w:val="24"/>
      <w:szCs w:val="24"/>
    </w:rPr>
  </w:style>
  <w:style w:type="character" w:customStyle="1" w:styleId="41">
    <w:name w:val="Heading 6 Char"/>
    <w:basedOn w:val="31"/>
    <w:qFormat/>
    <w:uiPriority w:val="9"/>
    <w:rPr>
      <w:rFonts w:ascii="Arial" w:hAnsi="Arial" w:eastAsia="Arial" w:cs="Arial"/>
      <w:b/>
      <w:bCs/>
      <w:sz w:val="22"/>
      <w:szCs w:val="22"/>
    </w:rPr>
  </w:style>
  <w:style w:type="character" w:customStyle="1" w:styleId="42">
    <w:name w:val="Heading 7 Char"/>
    <w:basedOn w:val="31"/>
    <w:qFormat/>
    <w:uiPriority w:val="9"/>
    <w:rPr>
      <w:rFonts w:ascii="Arial" w:hAnsi="Arial" w:eastAsia="Arial" w:cs="Arial"/>
      <w:b/>
      <w:bCs/>
      <w:i/>
      <w:iCs/>
      <w:sz w:val="22"/>
      <w:szCs w:val="22"/>
    </w:rPr>
  </w:style>
  <w:style w:type="character" w:customStyle="1" w:styleId="43">
    <w:name w:val="Heading 8 Char"/>
    <w:basedOn w:val="31"/>
    <w:qFormat/>
    <w:uiPriority w:val="9"/>
    <w:rPr>
      <w:rFonts w:ascii="Arial" w:hAnsi="Arial" w:eastAsia="Arial" w:cs="Arial"/>
      <w:i/>
      <w:iCs/>
      <w:sz w:val="22"/>
      <w:szCs w:val="22"/>
    </w:rPr>
  </w:style>
  <w:style w:type="character" w:customStyle="1" w:styleId="44">
    <w:name w:val="Heading 9 Char"/>
    <w:basedOn w:val="31"/>
    <w:qFormat/>
    <w:uiPriority w:val="9"/>
    <w:rPr>
      <w:rFonts w:ascii="Arial" w:hAnsi="Arial" w:eastAsia="Arial" w:cs="Arial"/>
      <w:i/>
      <w:iCs/>
      <w:sz w:val="21"/>
      <w:szCs w:val="21"/>
    </w:rPr>
  </w:style>
  <w:style w:type="character" w:customStyle="1" w:styleId="45">
    <w:name w:val="Title Char"/>
    <w:basedOn w:val="31"/>
    <w:qFormat/>
    <w:uiPriority w:val="10"/>
    <w:rPr>
      <w:sz w:val="48"/>
      <w:szCs w:val="48"/>
    </w:rPr>
  </w:style>
  <w:style w:type="character" w:customStyle="1" w:styleId="46">
    <w:name w:val="Subtitle Char"/>
    <w:basedOn w:val="31"/>
    <w:qFormat/>
    <w:uiPriority w:val="11"/>
    <w:rPr>
      <w:sz w:val="24"/>
      <w:szCs w:val="24"/>
    </w:rPr>
  </w:style>
  <w:style w:type="character" w:customStyle="1" w:styleId="47">
    <w:name w:val="Quote Char"/>
    <w:qFormat/>
    <w:uiPriority w:val="29"/>
    <w:rPr>
      <w:i/>
    </w:rPr>
  </w:style>
  <w:style w:type="character" w:customStyle="1" w:styleId="48">
    <w:name w:val="Intense Quote Char"/>
    <w:qFormat/>
    <w:uiPriority w:val="30"/>
    <w:rPr>
      <w:i/>
    </w:rPr>
  </w:style>
  <w:style w:type="character" w:customStyle="1" w:styleId="49">
    <w:name w:val="Footnote Text Char"/>
    <w:qFormat/>
    <w:uiPriority w:val="99"/>
    <w:rPr>
      <w:sz w:val="18"/>
    </w:rPr>
  </w:style>
  <w:style w:type="character" w:customStyle="1" w:styleId="50">
    <w:name w:val="Endnote Text Char"/>
    <w:qFormat/>
    <w:uiPriority w:val="99"/>
    <w:rPr>
      <w:sz w:val="20"/>
    </w:rPr>
  </w:style>
  <w:style w:type="character" w:customStyle="1" w:styleId="51">
    <w:name w:val="标题 1 Char"/>
    <w:basedOn w:val="31"/>
    <w:link w:val="2"/>
    <w:qFormat/>
    <w:uiPriority w:val="9"/>
    <w:rPr>
      <w:rFonts w:ascii="Arial" w:hAnsi="Arial" w:eastAsia="Arial" w:cs="Arial"/>
      <w:sz w:val="40"/>
      <w:szCs w:val="40"/>
    </w:rPr>
  </w:style>
  <w:style w:type="character" w:customStyle="1" w:styleId="52">
    <w:name w:val="标题 2 Char"/>
    <w:basedOn w:val="31"/>
    <w:link w:val="3"/>
    <w:qFormat/>
    <w:uiPriority w:val="9"/>
    <w:rPr>
      <w:rFonts w:ascii="Arial" w:hAnsi="Arial" w:eastAsia="Arial" w:cs="Arial"/>
      <w:sz w:val="34"/>
    </w:rPr>
  </w:style>
  <w:style w:type="character" w:customStyle="1" w:styleId="53">
    <w:name w:val="标题 3 Char"/>
    <w:basedOn w:val="31"/>
    <w:link w:val="4"/>
    <w:qFormat/>
    <w:uiPriority w:val="9"/>
    <w:rPr>
      <w:rFonts w:ascii="Arial" w:hAnsi="Arial" w:eastAsia="Arial" w:cs="Arial"/>
      <w:sz w:val="30"/>
      <w:szCs w:val="30"/>
    </w:rPr>
  </w:style>
  <w:style w:type="character" w:customStyle="1" w:styleId="54">
    <w:name w:val="标题 4 Char"/>
    <w:basedOn w:val="31"/>
    <w:link w:val="5"/>
    <w:qFormat/>
    <w:uiPriority w:val="9"/>
    <w:rPr>
      <w:rFonts w:ascii="Arial" w:hAnsi="Arial" w:eastAsia="Arial" w:cs="Arial"/>
      <w:b/>
      <w:bCs/>
      <w:sz w:val="26"/>
      <w:szCs w:val="26"/>
    </w:rPr>
  </w:style>
  <w:style w:type="character" w:customStyle="1" w:styleId="55">
    <w:name w:val="标题 5 Char"/>
    <w:basedOn w:val="31"/>
    <w:link w:val="6"/>
    <w:qFormat/>
    <w:uiPriority w:val="9"/>
    <w:rPr>
      <w:rFonts w:ascii="Arial" w:hAnsi="Arial" w:eastAsia="Arial" w:cs="Arial"/>
      <w:b/>
      <w:bCs/>
      <w:sz w:val="24"/>
      <w:szCs w:val="24"/>
    </w:rPr>
  </w:style>
  <w:style w:type="character" w:customStyle="1" w:styleId="56">
    <w:name w:val="标题 6 Char"/>
    <w:basedOn w:val="31"/>
    <w:link w:val="7"/>
    <w:qFormat/>
    <w:uiPriority w:val="9"/>
    <w:rPr>
      <w:rFonts w:ascii="Arial" w:hAnsi="Arial" w:eastAsia="Arial" w:cs="Arial"/>
      <w:b/>
      <w:bCs/>
      <w:sz w:val="22"/>
      <w:szCs w:val="22"/>
    </w:rPr>
  </w:style>
  <w:style w:type="character" w:customStyle="1" w:styleId="57">
    <w:name w:val="标题 7 Char"/>
    <w:basedOn w:val="31"/>
    <w:link w:val="8"/>
    <w:qFormat/>
    <w:uiPriority w:val="9"/>
    <w:rPr>
      <w:rFonts w:ascii="Arial" w:hAnsi="Arial" w:eastAsia="Arial" w:cs="Arial"/>
      <w:b/>
      <w:bCs/>
      <w:i/>
      <w:iCs/>
      <w:sz w:val="22"/>
      <w:szCs w:val="22"/>
    </w:rPr>
  </w:style>
  <w:style w:type="character" w:customStyle="1" w:styleId="58">
    <w:name w:val="标题 8 Char"/>
    <w:basedOn w:val="31"/>
    <w:link w:val="9"/>
    <w:qFormat/>
    <w:uiPriority w:val="9"/>
    <w:rPr>
      <w:rFonts w:ascii="Arial" w:hAnsi="Arial" w:eastAsia="Arial" w:cs="Arial"/>
      <w:i/>
      <w:iCs/>
      <w:sz w:val="22"/>
      <w:szCs w:val="22"/>
    </w:rPr>
  </w:style>
  <w:style w:type="character" w:customStyle="1" w:styleId="59">
    <w:name w:val="标题 9 Char"/>
    <w:basedOn w:val="31"/>
    <w:link w:val="10"/>
    <w:qFormat/>
    <w:uiPriority w:val="9"/>
    <w:rPr>
      <w:rFonts w:ascii="Arial" w:hAnsi="Arial" w:eastAsia="Arial" w:cs="Arial"/>
      <w:i/>
      <w:iCs/>
      <w:sz w:val="21"/>
      <w:szCs w:val="21"/>
    </w:rPr>
  </w:style>
  <w:style w:type="paragraph" w:styleId="60">
    <w:name w:val="List Paragraph"/>
    <w:basedOn w:val="1"/>
    <w:qFormat/>
    <w:uiPriority w:val="34"/>
    <w:pPr>
      <w:ind w:left="720"/>
      <w:contextualSpacing/>
    </w:pPr>
  </w:style>
  <w:style w:type="paragraph" w:styleId="61">
    <w:name w:val="No Spacing"/>
    <w:qFormat/>
    <w:uiPriority w:val="1"/>
    <w:rPr>
      <w:rFonts w:hint="default" w:ascii="Times New Roman" w:hAnsi="Times New Roman" w:eastAsia="宋体" w:cs="Times New Roman"/>
    </w:rPr>
  </w:style>
  <w:style w:type="character" w:customStyle="1" w:styleId="62">
    <w:name w:val="标题 Char"/>
    <w:basedOn w:val="31"/>
    <w:link w:val="28"/>
    <w:qFormat/>
    <w:uiPriority w:val="10"/>
    <w:rPr>
      <w:sz w:val="48"/>
      <w:szCs w:val="48"/>
    </w:rPr>
  </w:style>
  <w:style w:type="character" w:customStyle="1" w:styleId="63">
    <w:name w:val="副标题 Char"/>
    <w:basedOn w:val="31"/>
    <w:link w:val="22"/>
    <w:qFormat/>
    <w:uiPriority w:val="11"/>
    <w:rPr>
      <w:sz w:val="24"/>
      <w:szCs w:val="24"/>
    </w:rPr>
  </w:style>
  <w:style w:type="paragraph" w:styleId="64">
    <w:name w:val="Quote"/>
    <w:basedOn w:val="1"/>
    <w:next w:val="1"/>
    <w:link w:val="65"/>
    <w:qFormat/>
    <w:uiPriority w:val="29"/>
    <w:pPr>
      <w:ind w:left="720" w:right="720"/>
    </w:pPr>
    <w:rPr>
      <w:i/>
    </w:rPr>
  </w:style>
  <w:style w:type="character" w:customStyle="1" w:styleId="65">
    <w:name w:val="引用 Char"/>
    <w:link w:val="64"/>
    <w:qFormat/>
    <w:uiPriority w:val="29"/>
    <w:rPr>
      <w:i/>
    </w:rPr>
  </w:style>
  <w:style w:type="paragraph" w:styleId="66">
    <w:name w:val="Intense Quote"/>
    <w:basedOn w:val="1"/>
    <w:next w:val="1"/>
    <w:link w:val="6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67">
    <w:name w:val="明显引用 Char"/>
    <w:link w:val="66"/>
    <w:qFormat/>
    <w:uiPriority w:val="30"/>
    <w:rPr>
      <w:i/>
    </w:rPr>
  </w:style>
  <w:style w:type="character" w:customStyle="1" w:styleId="68">
    <w:name w:val="Header Char"/>
    <w:basedOn w:val="31"/>
    <w:qFormat/>
    <w:uiPriority w:val="99"/>
  </w:style>
  <w:style w:type="character" w:customStyle="1" w:styleId="69">
    <w:name w:val="Footer Char"/>
    <w:basedOn w:val="31"/>
    <w:qFormat/>
    <w:uiPriority w:val="99"/>
  </w:style>
  <w:style w:type="character" w:customStyle="1" w:styleId="70">
    <w:name w:val="Caption Char"/>
    <w:qFormat/>
    <w:uiPriority w:val="99"/>
  </w:style>
  <w:style w:type="table" w:customStyle="1" w:styleId="71">
    <w:name w:val="Table Grid Light"/>
    <w:basedOn w:val="29"/>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2">
    <w:name w:val="Plain Table 1"/>
    <w:basedOn w:val="29"/>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3">
    <w:name w:val="Plain Table 2"/>
    <w:basedOn w:val="29"/>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4">
    <w:name w:val="Plain Table 3"/>
    <w:basedOn w:val="29"/>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5">
    <w:name w:val="Plain Table 4"/>
    <w:basedOn w:val="29"/>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6">
    <w:name w:val="Plain Table 5"/>
    <w:basedOn w:val="29"/>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7">
    <w:name w:val="Grid Table 1 Light"/>
    <w:basedOn w:val="29"/>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8">
    <w:name w:val="Grid Table 1 Light - Accent 1"/>
    <w:basedOn w:val="29"/>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9">
    <w:name w:val="Grid Table 1 Light - Accent 2"/>
    <w:basedOn w:val="29"/>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0">
    <w:name w:val="Grid Table 1 Light - Accent 3"/>
    <w:basedOn w:val="29"/>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1">
    <w:name w:val="Grid Table 1 Light - Accent 4"/>
    <w:basedOn w:val="29"/>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2">
    <w:name w:val="Grid Table 1 Light - Accent 5"/>
    <w:basedOn w:val="29"/>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3">
    <w:name w:val="Grid Table 1 Light - Accent 6"/>
    <w:basedOn w:val="29"/>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4">
    <w:name w:val="Grid Table 2"/>
    <w:basedOn w:val="29"/>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5">
    <w:name w:val="Grid Table 2 - Accent 1"/>
    <w:basedOn w:val="29"/>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6">
    <w:name w:val="Grid Table 2 - Accent 2"/>
    <w:basedOn w:val="29"/>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7">
    <w:name w:val="Grid Table 2 - Accent 3"/>
    <w:basedOn w:val="29"/>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8">
    <w:name w:val="Grid Table 2 - Accent 4"/>
    <w:basedOn w:val="29"/>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9">
    <w:name w:val="Grid Table 2 - Accent 5"/>
    <w:basedOn w:val="29"/>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0">
    <w:name w:val="Grid Table 2 - Accent 6"/>
    <w:basedOn w:val="29"/>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1">
    <w:name w:val="Grid Table 3"/>
    <w:basedOn w:val="29"/>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2">
    <w:name w:val="Grid Table 3 - Accent 1"/>
    <w:basedOn w:val="29"/>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3">
    <w:name w:val="Grid Table 3 - Accent 2"/>
    <w:basedOn w:val="29"/>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4">
    <w:name w:val="Grid Table 3 - Accent 3"/>
    <w:basedOn w:val="29"/>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5">
    <w:name w:val="Grid Table 3 - Accent 4"/>
    <w:basedOn w:val="29"/>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6">
    <w:name w:val="Grid Table 3 - Accent 5"/>
    <w:basedOn w:val="29"/>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7">
    <w:name w:val="Grid Table 3 - Accent 6"/>
    <w:basedOn w:val="29"/>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8">
    <w:name w:val="Grid Table 4"/>
    <w:basedOn w:val="29"/>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9">
    <w:name w:val="Grid Table 4 - Accent 1"/>
    <w:basedOn w:val="29"/>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0">
    <w:name w:val="Grid Table 4 - Accent 2"/>
    <w:basedOn w:val="29"/>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1">
    <w:name w:val="Grid Table 4 - Accent 3"/>
    <w:basedOn w:val="29"/>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2">
    <w:name w:val="Grid Table 4 - Accent 4"/>
    <w:basedOn w:val="29"/>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3">
    <w:name w:val="Grid Table 4 - Accent 5"/>
    <w:basedOn w:val="29"/>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4">
    <w:name w:val="Grid Table 4 - Accent 6"/>
    <w:basedOn w:val="29"/>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5">
    <w:name w:val="Grid Table 5 Dark"/>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6">
    <w:name w:val="Grid Table 5 Dark- Accent 1"/>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07">
    <w:name w:val="Grid Table 5 Dark - Accent 2"/>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8">
    <w:name w:val="Grid Table 5 Dark - Accent 3"/>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9">
    <w:name w:val="Grid Table 5 Dark- Accent 4"/>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0">
    <w:name w:val="Grid Table 5 Dark - Accent 5"/>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1">
    <w:name w:val="Grid Table 5 Dark - Accent 6"/>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2">
    <w:name w:val="Grid Table 6 Colorful"/>
    <w:basedOn w:val="29"/>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3">
    <w:name w:val="Grid Table 6 Colorful - Accent 1"/>
    <w:basedOn w:val="29"/>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4">
    <w:name w:val="Grid Table 6 Colorful - Accent 2"/>
    <w:basedOn w:val="29"/>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5">
    <w:name w:val="Grid Table 6 Colorful - Accent 3"/>
    <w:basedOn w:val="29"/>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6">
    <w:name w:val="Grid Table 6 Colorful - Accent 4"/>
    <w:basedOn w:val="29"/>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7">
    <w:name w:val="Grid Table 6 Colorful - Accent 5"/>
    <w:basedOn w:val="29"/>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8">
    <w:name w:val="Grid Table 6 Colorful - Accent 6"/>
    <w:basedOn w:val="29"/>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9">
    <w:name w:val="Grid Table 7 Colorful"/>
    <w:basedOn w:val="29"/>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0">
    <w:name w:val="Grid Table 7 Colorful - Accent 1"/>
    <w:basedOn w:val="29"/>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1">
    <w:name w:val="Grid Table 7 Colorful - Accent 2"/>
    <w:basedOn w:val="29"/>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2">
    <w:name w:val="Grid Table 7 Colorful - Accent 3"/>
    <w:basedOn w:val="29"/>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3">
    <w:name w:val="Grid Table 7 Colorful - Accent 4"/>
    <w:basedOn w:val="29"/>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4">
    <w:name w:val="Grid Table 7 Colorful - Accent 5"/>
    <w:basedOn w:val="29"/>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5">
    <w:name w:val="Grid Table 7 Colorful - Accent 6"/>
    <w:basedOn w:val="29"/>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26">
    <w:name w:val="List Table 1 Light"/>
    <w:basedOn w:val="29"/>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7">
    <w:name w:val="List Table 1 Light - Accent 1"/>
    <w:basedOn w:val="29"/>
    <w:qFormat/>
    <w:uiPriority w:val="99"/>
    <w:tblPr>
      <w:tblCellMar>
        <w:top w:w="0" w:type="dxa"/>
        <w:left w:w="108" w:type="dxa"/>
        <w:bottom w:w="0" w:type="dxa"/>
        <w:right w:w="108"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8">
    <w:name w:val="List Table 1 Light - Accent 2"/>
    <w:basedOn w:val="29"/>
    <w:uiPriority w:val="99"/>
    <w:tblPr>
      <w:tblCellMar>
        <w:top w:w="0" w:type="dxa"/>
        <w:left w:w="108" w:type="dxa"/>
        <w:bottom w:w="0" w:type="dxa"/>
        <w:right w:w="108"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9">
    <w:name w:val="List Table 1 Light - Accent 3"/>
    <w:basedOn w:val="29"/>
    <w:uiPriority w:val="99"/>
    <w:tblPr>
      <w:tblCellMar>
        <w:top w:w="0" w:type="dxa"/>
        <w:left w:w="108" w:type="dxa"/>
        <w:bottom w:w="0" w:type="dxa"/>
        <w:right w:w="108"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0">
    <w:name w:val="List Table 1 Light - Accent 4"/>
    <w:basedOn w:val="29"/>
    <w:uiPriority w:val="99"/>
    <w:tblPr>
      <w:tblCellMar>
        <w:top w:w="0" w:type="dxa"/>
        <w:left w:w="108" w:type="dxa"/>
        <w:bottom w:w="0" w:type="dxa"/>
        <w:right w:w="108"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1">
    <w:name w:val="List Table 1 Light - Accent 5"/>
    <w:basedOn w:val="29"/>
    <w:uiPriority w:val="99"/>
    <w:tblPr>
      <w:tblCellMar>
        <w:top w:w="0" w:type="dxa"/>
        <w:left w:w="108" w:type="dxa"/>
        <w:bottom w:w="0" w:type="dxa"/>
        <w:right w:w="108"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2">
    <w:name w:val="List Table 1 Light - Accent 6"/>
    <w:basedOn w:val="29"/>
    <w:uiPriority w:val="99"/>
    <w:tblPr>
      <w:tblCellMar>
        <w:top w:w="0" w:type="dxa"/>
        <w:left w:w="108" w:type="dxa"/>
        <w:bottom w:w="0" w:type="dxa"/>
        <w:right w:w="108"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3">
    <w:name w:val="List Table 2"/>
    <w:basedOn w:val="29"/>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4">
    <w:name w:val="List Table 2 - Accent 1"/>
    <w:basedOn w:val="29"/>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5">
    <w:name w:val="List Table 2 - Accent 2"/>
    <w:basedOn w:val="29"/>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6">
    <w:name w:val="List Table 2 - Accent 3"/>
    <w:basedOn w:val="29"/>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7">
    <w:name w:val="List Table 2 - Accent 4"/>
    <w:basedOn w:val="29"/>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8">
    <w:name w:val="List Table 2 - Accent 5"/>
    <w:basedOn w:val="29"/>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9">
    <w:name w:val="List Table 2 - Accent 6"/>
    <w:basedOn w:val="29"/>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0">
    <w:name w:val="List Table 3"/>
    <w:basedOn w:val="29"/>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1">
    <w:name w:val="List Table 3 - Accent 1"/>
    <w:basedOn w:val="29"/>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2">
    <w:name w:val="List Table 3 - Accent 2"/>
    <w:basedOn w:val="29"/>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3">
    <w:name w:val="List Table 3 - Accent 3"/>
    <w:basedOn w:val="29"/>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4">
    <w:name w:val="List Table 3 - Accent 4"/>
    <w:basedOn w:val="29"/>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5">
    <w:name w:val="List Table 3 - Accent 5"/>
    <w:basedOn w:val="29"/>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6">
    <w:name w:val="List Table 3 - Accent 6"/>
    <w:basedOn w:val="29"/>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7">
    <w:name w:val="List Table 4"/>
    <w:basedOn w:val="29"/>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8">
    <w:name w:val="List Table 4 - Accent 1"/>
    <w:basedOn w:val="29"/>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9">
    <w:name w:val="List Table 4 - Accent 2"/>
    <w:basedOn w:val="29"/>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0">
    <w:name w:val="List Table 4 - Accent 3"/>
    <w:basedOn w:val="29"/>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1">
    <w:name w:val="List Table 4 - Accent 4"/>
    <w:basedOn w:val="29"/>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2">
    <w:name w:val="List Table 4 - Accent 5"/>
    <w:basedOn w:val="29"/>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3">
    <w:name w:val="List Table 4 - Accent 6"/>
    <w:basedOn w:val="29"/>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4">
    <w:name w:val="List Table 5 Dark"/>
    <w:basedOn w:val="29"/>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5">
    <w:name w:val="List Table 5 Dark - Accent 1"/>
    <w:basedOn w:val="29"/>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6">
    <w:name w:val="List Table 5 Dark - Accent 2"/>
    <w:basedOn w:val="29"/>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57">
    <w:name w:val="List Table 5 Dark - Accent 3"/>
    <w:basedOn w:val="29"/>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8">
    <w:name w:val="List Table 5 Dark - Accent 4"/>
    <w:basedOn w:val="29"/>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9">
    <w:name w:val="List Table 5 Dark - Accent 5"/>
    <w:basedOn w:val="29"/>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0">
    <w:name w:val="List Table 5 Dark - Accent 6"/>
    <w:basedOn w:val="29"/>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1">
    <w:name w:val="List Table 6 Colorful"/>
    <w:basedOn w:val="29"/>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2">
    <w:name w:val="List Table 6 Colorful - Accent 1"/>
    <w:basedOn w:val="29"/>
    <w:qFormat/>
    <w:uiPriority w:val="99"/>
    <w:tblPr>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3">
    <w:name w:val="List Table 6 Colorful - Accent 2"/>
    <w:basedOn w:val="29"/>
    <w:qFormat/>
    <w:uiPriority w:val="99"/>
    <w:tblPr>
      <w:tblBorders>
        <w:top w:val="single" w:color="D99795" w:themeColor="accent2" w:themeTint="97" w:sz="4" w:space="0"/>
        <w:bottom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4">
    <w:name w:val="List Table 6 Colorful - Accent 3"/>
    <w:basedOn w:val="29"/>
    <w:qFormat/>
    <w:uiPriority w:val="99"/>
    <w:tblPr>
      <w:tblBorders>
        <w:top w:val="single" w:color="C3D69C" w:themeColor="accent3" w:themeTint="98" w:sz="4" w:space="0"/>
        <w:bottom w:val="single" w:color="C3D69C" w:themeColor="accent3" w:themeTint="98" w:sz="4" w:space="0"/>
      </w:tblBorders>
      <w:tblCellMar>
        <w:top w:w="0" w:type="dxa"/>
        <w:left w:w="108" w:type="dxa"/>
        <w:bottom w:w="0" w:type="dxa"/>
        <w:right w:w="108"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5">
    <w:name w:val="List Table 6 Colorful - Accent 4"/>
    <w:basedOn w:val="29"/>
    <w:qFormat/>
    <w:uiPriority w:val="99"/>
    <w:tblPr>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6">
    <w:name w:val="List Table 6 Colorful - Accent 5"/>
    <w:basedOn w:val="29"/>
    <w:qFormat/>
    <w:uiPriority w:val="99"/>
    <w:tblPr>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7">
    <w:name w:val="List Table 6 Colorful - Accent 6"/>
    <w:basedOn w:val="29"/>
    <w:qFormat/>
    <w:uiPriority w:val="99"/>
    <w:tblPr>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8">
    <w:name w:val="List Table 7 Colorful"/>
    <w:basedOn w:val="29"/>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9">
    <w:name w:val="List Table 7 Colorful - Accent 1"/>
    <w:basedOn w:val="29"/>
    <w:qFormat/>
    <w:uiPriority w:val="99"/>
    <w:tblPr>
      <w:tblBorders>
        <w:right w:val="single" w:color="4F81BD" w:themeColor="accent1" w:sz="4" w:space="0"/>
      </w:tblBorders>
      <w:tblCellMar>
        <w:top w:w="0" w:type="dxa"/>
        <w:left w:w="108" w:type="dxa"/>
        <w:bottom w:w="0" w:type="dxa"/>
        <w:right w:w="108"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0">
    <w:name w:val="List Table 7 Colorful - Accent 2"/>
    <w:basedOn w:val="29"/>
    <w:qFormat/>
    <w:uiPriority w:val="99"/>
    <w:tblPr>
      <w:tblBorders>
        <w:right w:val="single" w:color="D99795" w:themeColor="accent2" w:themeTint="97" w:sz="4" w:space="0"/>
      </w:tblBorders>
      <w:tblCellMar>
        <w:top w:w="0" w:type="dxa"/>
        <w:left w:w="108" w:type="dxa"/>
        <w:bottom w:w="0" w:type="dxa"/>
        <w:right w:w="108"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1">
    <w:name w:val="List Table 7 Colorful - Accent 3"/>
    <w:basedOn w:val="29"/>
    <w:qFormat/>
    <w:uiPriority w:val="99"/>
    <w:tblPr>
      <w:tblBorders>
        <w:right w:val="single" w:color="C3D69C" w:themeColor="accent3" w:themeTint="98" w:sz="4" w:space="0"/>
      </w:tblBorders>
      <w:tblCellMar>
        <w:top w:w="0" w:type="dxa"/>
        <w:left w:w="108" w:type="dxa"/>
        <w:bottom w:w="0" w:type="dxa"/>
        <w:right w:w="108"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2">
    <w:name w:val="List Table 7 Colorful - Accent 4"/>
    <w:basedOn w:val="29"/>
    <w:qFormat/>
    <w:uiPriority w:val="99"/>
    <w:tblPr>
      <w:tblBorders>
        <w:right w:val="single" w:color="B2A1C6" w:themeColor="accent4" w:themeTint="9A" w:sz="4" w:space="0"/>
      </w:tblBorders>
      <w:tblCellMar>
        <w:top w:w="0" w:type="dxa"/>
        <w:left w:w="108" w:type="dxa"/>
        <w:bottom w:w="0" w:type="dxa"/>
        <w:right w:w="108"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3">
    <w:name w:val="List Table 7 Colorful - Accent 5"/>
    <w:basedOn w:val="29"/>
    <w:qFormat/>
    <w:uiPriority w:val="99"/>
    <w:tblPr>
      <w:tblBorders>
        <w:right w:val="single" w:color="92CCDC" w:themeColor="accent5" w:themeTint="9A" w:sz="4" w:space="0"/>
      </w:tblBorders>
      <w:tblCellMar>
        <w:top w:w="0" w:type="dxa"/>
        <w:left w:w="108" w:type="dxa"/>
        <w:bottom w:w="0" w:type="dxa"/>
        <w:right w:w="108"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4">
    <w:name w:val="List Table 7 Colorful - Accent 6"/>
    <w:basedOn w:val="29"/>
    <w:qFormat/>
    <w:uiPriority w:val="99"/>
    <w:tblPr>
      <w:tblBorders>
        <w:right w:val="single" w:color="FAC090" w:themeColor="accent6" w:themeTint="98" w:sz="4" w:space="0"/>
      </w:tblBorders>
      <w:tblCellMar>
        <w:top w:w="0" w:type="dxa"/>
        <w:left w:w="108" w:type="dxa"/>
        <w:bottom w:w="0" w:type="dxa"/>
        <w:right w:w="108"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5">
    <w:name w:val="Lined - Accent"/>
    <w:basedOn w:val="2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6">
    <w:name w:val="Lined - Accent 1"/>
    <w:basedOn w:val="2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7">
    <w:name w:val="Lined - Accent 2"/>
    <w:basedOn w:val="2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8">
    <w:name w:val="Lined - Accent 3"/>
    <w:basedOn w:val="2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9">
    <w:name w:val="Lined - Accent 4"/>
    <w:basedOn w:val="2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0">
    <w:name w:val="Lined - Accent 5"/>
    <w:basedOn w:val="2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1">
    <w:name w:val="Lined - Accent 6"/>
    <w:basedOn w:val="2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2">
    <w:name w:val="Bordered &amp; Lined - Accent"/>
    <w:basedOn w:val="29"/>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3">
    <w:name w:val="Bordered &amp; Lined - Accent 1"/>
    <w:basedOn w:val="29"/>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4">
    <w:name w:val="Bordered &amp; Lined - Accent 2"/>
    <w:basedOn w:val="29"/>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5">
    <w:name w:val="Bordered &amp; Lined - Accent 3"/>
    <w:basedOn w:val="29"/>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6">
    <w:name w:val="Bordered &amp; Lined - Accent 4"/>
    <w:basedOn w:val="29"/>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7">
    <w:name w:val="Bordered &amp; Lined - Accent 5"/>
    <w:basedOn w:val="29"/>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8">
    <w:name w:val="Bordered &amp; Lined - Accent 6"/>
    <w:basedOn w:val="29"/>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9">
    <w:name w:val="Bordered"/>
    <w:basedOn w:val="29"/>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0">
    <w:name w:val="Bordered - Accent 1"/>
    <w:basedOn w:val="29"/>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1">
    <w:name w:val="Bordered - Accent 2"/>
    <w:basedOn w:val="29"/>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2">
    <w:name w:val="Bordered - Accent 3"/>
    <w:basedOn w:val="29"/>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3">
    <w:name w:val="Bordered - Accent 4"/>
    <w:basedOn w:val="29"/>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4">
    <w:name w:val="Bordered - Accent 5"/>
    <w:basedOn w:val="29"/>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5">
    <w:name w:val="Bordered - Accent 6"/>
    <w:basedOn w:val="29"/>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6">
    <w:name w:val="脚注文本 Char"/>
    <w:link w:val="23"/>
    <w:qFormat/>
    <w:uiPriority w:val="99"/>
    <w:rPr>
      <w:sz w:val="18"/>
    </w:rPr>
  </w:style>
  <w:style w:type="character" w:customStyle="1" w:styleId="197">
    <w:name w:val="尾注文本 Char"/>
    <w:link w:val="16"/>
    <w:qFormat/>
    <w:uiPriority w:val="99"/>
    <w:rPr>
      <w:sz w:val="20"/>
    </w:rPr>
  </w:style>
  <w:style w:type="paragraph" w:customStyle="1" w:styleId="198">
    <w:name w:val="TOC Heading"/>
    <w:unhideWhenUsed/>
    <w:qFormat/>
    <w:uiPriority w:val="39"/>
    <w:rPr>
      <w:rFonts w:hint="default" w:ascii="Times New Roman" w:hAnsi="Times New Roman" w:eastAsia="宋体" w:cs="Times New Roman"/>
    </w:rPr>
  </w:style>
  <w:style w:type="character" w:customStyle="1" w:styleId="199">
    <w:name w:val="页眉 Char"/>
    <w:link w:val="19"/>
    <w:qFormat/>
    <w:uiPriority w:val="0"/>
    <w:rPr>
      <w:rFonts w:eastAsia="仿宋_GB2312"/>
      <w:kern w:val="2"/>
      <w:sz w:val="18"/>
      <w:szCs w:val="18"/>
    </w:rPr>
  </w:style>
  <w:style w:type="character" w:customStyle="1" w:styleId="200">
    <w:name w:val="页脚 Char"/>
    <w:link w:val="18"/>
    <w:qFormat/>
    <w:uiPriority w:val="99"/>
    <w:rPr>
      <w:rFonts w:eastAsia="仿宋_GB2312"/>
      <w:kern w:val="2"/>
      <w:sz w:val="18"/>
      <w:szCs w:val="18"/>
    </w:rPr>
  </w:style>
  <w:style w:type="character" w:customStyle="1" w:styleId="201">
    <w:name w:val="批注框文本 Char"/>
    <w:link w:val="17"/>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CUSTOMER</Company>
  <Pages>8</Pages>
  <Words>2672</Words>
  <Characters>2701</Characters>
  <TotalTime>1</TotalTime>
  <ScaleCrop>false</ScaleCrop>
  <LinksUpToDate>false</LinksUpToDate>
  <CharactersWithSpaces>2749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2012-01-06T01:41:00Z</dcterms:created>
  <dc:creator>shuibg</dc:creator>
  <cp:lastModifiedBy>胡建伟</cp:lastModifiedBy>
  <dcterms:modified xsi:type="dcterms:W3CDTF">2025-12-30T06:35:14Z</dcterms:modified>
  <dc:title>中共四川省委教育工作委员会</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4C76D56E3417443E8402911DC1A471EB_13</vt:lpwstr>
  </property>
  <property fmtid="{D5CDD505-2E9C-101B-9397-08002B2CF9AE}" pid="4" name="KSOTemplateDocerSaveRecord">
    <vt:lpwstr>eyJoZGlkIjoiYWU4ODcyZTJlZWFiNjFhYmQzMTcxZWUwODQ0OGI0YmEiLCJ1c2VySWQiOiI1NDIyMzAwMzAifQ==</vt:lpwstr>
  </property>
</Properties>
</file>