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EE354">
      <w:pPr>
        <w:jc w:val="right"/>
      </w:pPr>
      <w:bookmarkStart w:id="0" w:name="doc_mark"/>
      <w:r>
        <w:rPr>
          <w:rFonts w:hint="eastAsia"/>
        </w:rPr>
        <w:t>川教函〔2025〕18号</w:t>
      </w:r>
      <w:bookmarkEnd w:id="0"/>
    </w:p>
    <w:p w14:paraId="6A5F89FB">
      <w:pPr>
        <w:spacing w:line="600" w:lineRule="exact"/>
        <w:ind w:firstLine="640" w:firstLineChars="200"/>
        <w:rPr>
          <w:bCs/>
          <w:szCs w:val="44"/>
        </w:rPr>
      </w:pPr>
      <w:bookmarkStart w:id="1" w:name="Content"/>
      <w:bookmarkEnd w:id="1"/>
    </w:p>
    <w:p w14:paraId="4E7501FB">
      <w:pPr>
        <w:spacing w:line="700" w:lineRule="exact"/>
        <w:jc w:val="center"/>
        <w:rPr>
          <w:rFonts w:ascii="方正小标宋_GBK" w:hAnsi="黑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黑体" w:eastAsia="方正小标宋_GBK" w:cs="方正小标宋简体"/>
          <w:bCs/>
          <w:sz w:val="44"/>
          <w:szCs w:val="44"/>
        </w:rPr>
        <w:t>中共四川省委宣传部等四部门</w:t>
      </w:r>
    </w:p>
    <w:p w14:paraId="27063EC7">
      <w:pPr>
        <w:spacing w:line="700" w:lineRule="exact"/>
        <w:jc w:val="center"/>
        <w:rPr>
          <w:rFonts w:ascii="方正小标宋_GBK" w:hAnsi="黑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黑体" w:eastAsia="方正小标宋_GBK" w:cs="方正小标宋简体"/>
          <w:bCs/>
          <w:sz w:val="44"/>
          <w:szCs w:val="44"/>
        </w:rPr>
        <w:t>关于公布四川省2024年中华经典诵写讲演</w:t>
      </w:r>
    </w:p>
    <w:p w14:paraId="63C6A854">
      <w:pPr>
        <w:spacing w:line="700" w:lineRule="exact"/>
        <w:jc w:val="center"/>
        <w:rPr>
          <w:rFonts w:ascii="方正小标宋_GBK" w:hAnsi="黑体" w:eastAsia="方正小标宋_GBK" w:cs="方正小标宋简体"/>
          <w:sz w:val="44"/>
        </w:rPr>
      </w:pPr>
      <w:r>
        <w:rPr>
          <w:rFonts w:hint="eastAsia" w:ascii="方正小标宋_GBK" w:hAnsi="黑体" w:eastAsia="方正小标宋_GBK" w:cs="方正小标宋简体"/>
          <w:bCs/>
          <w:sz w:val="44"/>
          <w:szCs w:val="44"/>
        </w:rPr>
        <w:t>系列活动获奖名单的通知</w:t>
      </w:r>
    </w:p>
    <w:p w14:paraId="6B174D50">
      <w:pPr>
        <w:spacing w:line="500" w:lineRule="exact"/>
        <w:ind w:firstLine="640" w:firstLineChars="200"/>
      </w:pPr>
    </w:p>
    <w:p w14:paraId="521EB6FC">
      <w:pPr>
        <w:spacing w:line="600" w:lineRule="exact"/>
      </w:pPr>
      <w:r>
        <w:rPr>
          <w:rFonts w:hint="eastAsia"/>
        </w:rPr>
        <w:t>各市（州）党委宣传部、教育主管部门，各高等学校，省语委各成员单位，有关单位：</w:t>
      </w:r>
    </w:p>
    <w:p w14:paraId="25247544">
      <w:pPr>
        <w:spacing w:line="600" w:lineRule="exact"/>
        <w:ind w:firstLine="640" w:firstLineChars="200"/>
        <w:sectPr>
          <w:footerReference r:id="rId3" w:type="even"/>
          <w:pgSz w:w="11906" w:h="16838"/>
          <w:pgMar w:top="1587" w:right="1474" w:bottom="1304" w:left="1587" w:header="1134" w:footer="1134" w:gutter="0"/>
          <w:cols w:space="720" w:num="1"/>
          <w:docGrid w:linePitch="435" w:charSpace="0"/>
        </w:sectPr>
      </w:pPr>
      <w:r>
        <w:rPr>
          <w:rFonts w:hint="eastAsia"/>
        </w:rPr>
        <w:t>根据《中共四川省委宣传部等四部门关于开展四川省2024年中华经典诵写讲演系列活动的通知》（川语函〔2024〕5号）安排，2024年5月至12月，四川省2024年中华经典诵写讲演系列活动完成初赛、复赛、决赛、拟获奖名单公示以及展演等工作。各地各单位精心组织发动，广大师生及干部群众积极支持参与，涌现出一大批优秀作品，为推广普及国家通用语言文字，传承弘扬中华优秀语言文化发挥了重要作用。</w:t>
      </w:r>
    </w:p>
    <w:p w14:paraId="56B2E954">
      <w:pPr>
        <w:spacing w:line="600" w:lineRule="exact"/>
        <w:ind w:firstLine="640" w:firstLineChars="200"/>
      </w:pPr>
      <w:r>
        <w:rPr>
          <w:rFonts w:hint="eastAsia"/>
        </w:rPr>
        <w:t>根据活动方案，全省共评选出各类奖项2265件。“诵读中国”经典诵读大赛获奖作品551件，其中一等奖99件、二等奖119件、三等奖145件、优秀奖188件；“诗教中国”诗词讲解大赛获奖作品232件，其中一等奖40件、二等奖50件、三等奖62件、优秀奖80件；“笔墨中国”汉字书写大赛获奖作品564件，其中，软笔类一等奖52件、二等奖68件、三等奖84件、优秀奖118件，硬笔类一等奖40件、二等奖51件、三等奖64件、优秀奖87件；“印记中国”师生篆刻大赛获奖作品156件，其中一等奖25件、二等奖33件、三等奖40件、优秀奖58件；“书香天府·阅读之星”63名、“书香天府·阅读之家”473个；“蜀风诗韵”中小学生诗词大会获奖选手63名，其中一等奖3名、二等奖3名、三等奖3名、优秀奖54名，市（州）冠军代表队1个、亚军代表队1个、季军代表队1个；中小学生中华经典课本剧创作展演活动获奖作品160件，其中一等奖17件、二等奖32件、三等奖46件、优秀奖65件。</w:t>
      </w:r>
    </w:p>
    <w:p w14:paraId="10B09BDC">
      <w:pPr>
        <w:spacing w:line="600" w:lineRule="exact"/>
        <w:ind w:firstLine="640" w:firstLineChars="200"/>
      </w:pPr>
      <w:r>
        <w:rPr>
          <w:rFonts w:hint="eastAsia"/>
        </w:rPr>
        <w:t>现将获奖名单予以公布（详见附件）。请各地各单位结合实际，认真总结工作经验，加强获奖作品和选手的推广宣传，引导社会大众亲近中华经典，自觉传承中华优秀传统文化，培育文化自觉，增强文化自信，在全社会营造传承中华经典、弘扬经典文化的良好氛围，为加大国家通用语言文字推广力度，更好地服务经济社会高质量发展，奋力谱写中国式现代化四川新篇章作出新的贡献！</w:t>
      </w:r>
    </w:p>
    <w:p w14:paraId="74D16426">
      <w:pPr>
        <w:ind w:firstLine="640" w:firstLineChars="200"/>
      </w:pPr>
    </w:p>
    <w:p w14:paraId="1D423359">
      <w:pPr>
        <w:spacing w:line="600" w:lineRule="exact"/>
        <w:ind w:firstLine="640" w:firstLineChars="200"/>
      </w:pPr>
      <w:r>
        <w:rPr>
          <w:rFonts w:hint="eastAsia"/>
        </w:rPr>
        <w:t>附件：四川省2024年中华经典诵写讲演系列活动获奖名单</w:t>
      </w:r>
    </w:p>
    <w:p w14:paraId="145CFD17">
      <w:pPr>
        <w:spacing w:line="600" w:lineRule="exact"/>
        <w:ind w:firstLine="640" w:firstLineChars="200"/>
      </w:pPr>
    </w:p>
    <w:p w14:paraId="35EE006E">
      <w:pPr>
        <w:spacing w:line="600" w:lineRule="exact"/>
        <w:ind w:firstLine="640" w:firstLineChars="200"/>
      </w:pPr>
    </w:p>
    <w:p w14:paraId="4A4C5D9C">
      <w:pPr>
        <w:spacing w:line="600" w:lineRule="exact"/>
        <w:ind w:firstLine="640" w:firstLineChars="200"/>
      </w:pPr>
    </w:p>
    <w:p w14:paraId="55522693">
      <w:pPr>
        <w:spacing w:line="600" w:lineRule="exact"/>
        <w:ind w:firstLine="640" w:firstLineChars="200"/>
      </w:pPr>
      <w:r>
        <w:rPr>
          <w:rFonts w:hint="eastAsia"/>
        </w:rPr>
        <w:t>中共四川省委宣传部     中共四川省委教育工作委员会</w:t>
      </w:r>
    </w:p>
    <w:p w14:paraId="3FD8B2EF">
      <w:pPr>
        <w:spacing w:line="600" w:lineRule="exact"/>
        <w:ind w:firstLine="640" w:firstLineChars="200"/>
      </w:pPr>
    </w:p>
    <w:p w14:paraId="61DDAE2A">
      <w:pPr>
        <w:spacing w:line="600" w:lineRule="exact"/>
        <w:ind w:firstLine="640" w:firstLineChars="200"/>
      </w:pPr>
    </w:p>
    <w:p w14:paraId="6827643F">
      <w:pPr>
        <w:spacing w:line="600" w:lineRule="exact"/>
        <w:ind w:firstLine="640" w:firstLineChars="200"/>
      </w:pPr>
    </w:p>
    <w:p w14:paraId="20F732A0">
      <w:pPr>
        <w:spacing w:line="600" w:lineRule="exact"/>
        <w:ind w:firstLine="640" w:firstLineChars="200"/>
      </w:pPr>
    </w:p>
    <w:p w14:paraId="6B2578BA">
      <w:pPr>
        <w:spacing w:line="600" w:lineRule="exact"/>
        <w:jc w:val="center"/>
      </w:pPr>
      <w:r>
        <w:rPr>
          <w:rFonts w:hint="eastAsia"/>
        </w:rPr>
        <w:t xml:space="preserve">     四川省教育厅       四川省语言文字工作委员会</w:t>
      </w:r>
    </w:p>
    <w:p w14:paraId="59E8F1F4">
      <w:pPr>
        <w:spacing w:line="600" w:lineRule="exact"/>
        <w:ind w:right="1117" w:rightChars="349" w:firstLine="640" w:firstLineChars="200"/>
        <w:jc w:val="right"/>
      </w:pPr>
      <w:r>
        <w:rPr>
          <w:rFonts w:hint="eastAsia"/>
        </w:rPr>
        <w:t>2025年2月10日</w:t>
      </w:r>
    </w:p>
    <w:p w14:paraId="006FAFC1">
      <w:pP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</w:pPr>
      <w:bookmarkStart w:id="2" w:name="_GoBack"/>
      <w:bookmarkEnd w:id="2"/>
    </w:p>
    <w:sectPr>
      <w:footerReference r:id="rId4" w:type="default"/>
      <w:footerReference r:id="rId5" w:type="even"/>
      <w:pgSz w:w="11906" w:h="16838"/>
      <w:pgMar w:top="2098" w:right="1474" w:bottom="1985" w:left="1588" w:header="1701" w:footer="158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BAE0F">
    <w:pPr>
      <w:pStyle w:val="4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0C4C9A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B996F">
    <w:pPr>
      <w:pStyle w:val="4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5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52A47E87">
    <w:pPr>
      <w:pStyle w:val="4"/>
      <w:ind w:right="567" w:firstLine="35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FC46">
    <w:pPr>
      <w:pStyle w:val="4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4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6C94CF23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715941"/>
    <w:rsid w:val="00007523"/>
    <w:rsid w:val="000E7523"/>
    <w:rsid w:val="00112420"/>
    <w:rsid w:val="001B42BA"/>
    <w:rsid w:val="00363C2C"/>
    <w:rsid w:val="003A34ED"/>
    <w:rsid w:val="003F1922"/>
    <w:rsid w:val="0040597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645A63"/>
    <w:rsid w:val="00674CD5"/>
    <w:rsid w:val="00683912"/>
    <w:rsid w:val="00715941"/>
    <w:rsid w:val="00721806"/>
    <w:rsid w:val="00794B2C"/>
    <w:rsid w:val="007E10D6"/>
    <w:rsid w:val="00850378"/>
    <w:rsid w:val="00941EE0"/>
    <w:rsid w:val="00952CCA"/>
    <w:rsid w:val="009967C5"/>
    <w:rsid w:val="009E02A3"/>
    <w:rsid w:val="00B23D06"/>
    <w:rsid w:val="00B26EDA"/>
    <w:rsid w:val="00B975B8"/>
    <w:rsid w:val="00BE7E6E"/>
    <w:rsid w:val="00BF5927"/>
    <w:rsid w:val="00D02336"/>
    <w:rsid w:val="00D43A80"/>
    <w:rsid w:val="00DA4F6D"/>
    <w:rsid w:val="00DF752E"/>
    <w:rsid w:val="00E3588B"/>
    <w:rsid w:val="00E65288"/>
    <w:rsid w:val="00E66AC6"/>
    <w:rsid w:val="00E77518"/>
    <w:rsid w:val="00E93428"/>
    <w:rsid w:val="00F07A21"/>
    <w:rsid w:val="00F1793D"/>
    <w:rsid w:val="00FF0CA8"/>
    <w:rsid w:val="5EFF39B0"/>
    <w:rsid w:val="69C159BB"/>
    <w:rsid w:val="6EEF3023"/>
    <w:rsid w:val="6F97AC6B"/>
    <w:rsid w:val="7F6B6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宋体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nhideWhenUsed/>
    <w:qFormat/>
    <w:uiPriority w:val="99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9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6">
    <w:name w:val="HTML 预设格式 Char"/>
    <w:basedOn w:val="9"/>
    <w:link w:val="6"/>
    <w:qFormat/>
    <w:uiPriority w:val="0"/>
    <w:rPr>
      <w:rFonts w:ascii="宋体" w:hAnsi="宋体" w:eastAsia="宋体"/>
      <w:sz w:val="24"/>
      <w:szCs w:val="24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6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9">
    <w:name w:val="font5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21">
    <w:name w:val="font7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22">
    <w:name w:val="font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j\Desktop\Doc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Pages>3</Pages>
  <Words>1592</Words>
  <Characters>1668</Characters>
  <Lines>608</Lines>
  <Paragraphs>171</Paragraphs>
  <TotalTime>0</TotalTime>
  <ScaleCrop>false</ScaleCrop>
  <LinksUpToDate>false</LinksUpToDate>
  <CharactersWithSpaces>1824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2025-02-12T01:10:00Z</dcterms:created>
  <dc:creator>攀枝花学院单位管理员</dc:creator>
  <cp:lastModifiedBy>Colamilkshake</cp:lastModifiedBy>
  <dcterms:modified xsi:type="dcterms:W3CDTF">2025-02-12T07:21:34Z</dcterms:modified>
  <dc:title>中共四川省委宣传部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eyJoZGlkIjoiYWU4ODcyZTJlZWFiNjFhYmQzMTcxZWUwODQ0OGI0YmEiLCJ1c2VySWQiOiI3NTU1Mjk0MzMifQ==</vt:lpwstr>
  </property>
  <property fmtid="{D5CDD505-2E9C-101B-9397-08002B2CF9AE}" pid="4" name="ICV">
    <vt:lpwstr>186B0842214E47A1AA980766E3E9D778_13</vt:lpwstr>
  </property>
</Properties>
</file>