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54"/>
        <w:ind w:left="0" w:leftChars="0"/>
        <w:jc w:val="left"/>
        <w:rPr>
          <w:rFonts w:eastAsia="黑体"/>
          <w:lang w:bidi="zh-CN"/>
        </w:rPr>
      </w:pPr>
      <w:r>
        <w:rPr>
          <w:rFonts w:eastAsia="黑体"/>
          <w:lang w:bidi="zh-CN"/>
        </w:rPr>
        <w:t>附件2</w:t>
      </w:r>
    </w:p>
    <w:p>
      <w:pPr>
        <w:autoSpaceDE w:val="0"/>
        <w:autoSpaceDN w:val="0"/>
        <w:spacing w:before="54"/>
        <w:ind w:left="518"/>
        <w:rPr>
          <w:rFonts w:ascii="黑体" w:hAnsi="黑体" w:eastAsia="黑体" w:cs="黑体"/>
          <w:lang w:bidi="zh-CN"/>
        </w:rPr>
      </w:pPr>
    </w:p>
    <w:p>
      <w:pPr>
        <w:spacing w:line="800" w:lineRule="exact"/>
        <w:jc w:val="center"/>
        <w:rPr>
          <w:rFonts w:ascii="方正小标宋_GBK" w:hAnsi="方正小标宋简体" w:eastAsia="方正小标宋_GBK" w:cs="方正小标宋简体"/>
          <w:color w:val="000000"/>
          <w:kern w:val="0"/>
          <w:sz w:val="44"/>
          <w:szCs w:val="21"/>
          <w:lang w:val="zh-CN" w:bidi="zh-CN"/>
        </w:rPr>
      </w:pPr>
      <w:r>
        <w:rPr>
          <w:rFonts w:hint="eastAsia" w:ascii="方正小标宋_GBK" w:hAnsi="方正小标宋简体" w:eastAsia="方正小标宋_GBK" w:cs="方正小标宋简体"/>
          <w:color w:val="000000"/>
          <w:kern w:val="0"/>
          <w:sz w:val="44"/>
          <w:szCs w:val="21"/>
          <w:lang w:val="zh-CN" w:bidi="zh-CN"/>
        </w:rPr>
        <w:t>202</w:t>
      </w:r>
      <w:r>
        <w:rPr>
          <w:rFonts w:hint="eastAsia" w:ascii="方正小标宋_GBK" w:hAnsi="方正小标宋简体" w:eastAsia="方正小标宋_GBK" w:cs="方正小标宋简体"/>
          <w:color w:val="000000"/>
          <w:kern w:val="0"/>
          <w:sz w:val="44"/>
          <w:szCs w:val="21"/>
          <w:lang w:bidi="zh-CN"/>
        </w:rPr>
        <w:t>3</w:t>
      </w:r>
      <w:r>
        <w:rPr>
          <w:rFonts w:hint="eastAsia" w:ascii="方正小标宋_GBK" w:hAnsi="方正小标宋简体" w:eastAsia="方正小标宋_GBK" w:cs="方正小标宋简体"/>
          <w:color w:val="000000"/>
          <w:kern w:val="0"/>
          <w:sz w:val="44"/>
          <w:szCs w:val="21"/>
          <w:lang w:val="zh-CN" w:bidi="zh-CN"/>
        </w:rPr>
        <w:t>年四川省思想政治教育研究课题（思想政治理论课青年教师专项）</w:t>
      </w:r>
    </w:p>
    <w:p>
      <w:pPr>
        <w:spacing w:line="800" w:lineRule="exact"/>
        <w:jc w:val="center"/>
        <w:rPr>
          <w:rFonts w:hint="eastAsia" w:ascii="方正小标宋_GBK" w:hAnsi="方正小标宋简体" w:eastAsia="方正小标宋_GBK" w:cs="方正小标宋简体"/>
          <w:color w:val="000000"/>
          <w:kern w:val="0"/>
          <w:sz w:val="44"/>
          <w:szCs w:val="21"/>
          <w:lang w:val="zh-CN" w:bidi="zh-CN"/>
        </w:rPr>
      </w:pPr>
      <w:r>
        <w:rPr>
          <w:rFonts w:hint="eastAsia" w:ascii="方正小标宋_GBK" w:hAnsi="方正小标宋简体" w:eastAsia="方正小标宋_GBK" w:cs="方正小标宋简体"/>
          <w:color w:val="000000"/>
          <w:kern w:val="0"/>
          <w:sz w:val="44"/>
          <w:szCs w:val="21"/>
          <w:lang w:bidi="zh-CN"/>
        </w:rPr>
        <w:t>高校</w:t>
      </w:r>
      <w:r>
        <w:rPr>
          <w:rFonts w:hint="eastAsia" w:ascii="方正小标宋_GBK" w:hAnsi="方正小标宋简体" w:eastAsia="方正小标宋_GBK" w:cs="方正小标宋简体"/>
          <w:color w:val="000000"/>
          <w:kern w:val="0"/>
          <w:sz w:val="44"/>
          <w:szCs w:val="21"/>
          <w:lang w:val="zh-CN" w:bidi="zh-CN"/>
        </w:rPr>
        <w:t>结题项目评审结果一览表</w:t>
      </w:r>
    </w:p>
    <w:p>
      <w:pPr>
        <w:autoSpaceDE w:val="0"/>
        <w:autoSpaceDN w:val="0"/>
        <w:spacing w:before="54"/>
        <w:ind w:left="518"/>
        <w:rPr>
          <w:rFonts w:ascii="黑体" w:hAnsi="黑体" w:eastAsia="黑体" w:cs="黑体"/>
          <w:lang w:bidi="zh-CN"/>
        </w:rPr>
      </w:pPr>
    </w:p>
    <w:tbl>
      <w:tblPr>
        <w:tblStyle w:val="2"/>
        <w:tblW w:w="5000" w:type="pct"/>
        <w:jc w:val="center"/>
        <w:tblCaption w:val="Table4q3d"/>
        <w:tblLayout w:type="autofit"/>
        <w:tblCellMar>
          <w:top w:w="0" w:type="dxa"/>
          <w:left w:w="108" w:type="dxa"/>
          <w:bottom w:w="0" w:type="dxa"/>
          <w:right w:w="108" w:type="dxa"/>
        </w:tblCellMar>
      </w:tblPr>
      <w:tblGrid>
        <w:gridCol w:w="689"/>
        <w:gridCol w:w="1834"/>
        <w:gridCol w:w="1865"/>
        <w:gridCol w:w="2259"/>
        <w:gridCol w:w="6152"/>
        <w:gridCol w:w="1375"/>
      </w:tblGrid>
      <w:tr>
        <w:trPr>
          <w:trHeight w:val="624" w:hRule="atLeast"/>
          <w:tblHeader/>
          <w:jc w:val="center"/>
        </w:trPr>
        <w:tc>
          <w:tcPr>
            <w:tcW w:w="243"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序号</w:t>
            </w:r>
          </w:p>
        </w:tc>
        <w:tc>
          <w:tcPr>
            <w:tcW w:w="647"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课题编号</w:t>
            </w:r>
          </w:p>
        </w:tc>
        <w:tc>
          <w:tcPr>
            <w:tcW w:w="658"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课题组负责人</w:t>
            </w:r>
          </w:p>
        </w:tc>
        <w:tc>
          <w:tcPr>
            <w:tcW w:w="797"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单位</w:t>
            </w:r>
          </w:p>
        </w:tc>
        <w:tc>
          <w:tcPr>
            <w:tcW w:w="2170"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课题名称</w:t>
            </w:r>
          </w:p>
        </w:tc>
        <w:tc>
          <w:tcPr>
            <w:tcW w:w="485"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ascii="黑体" w:hAnsi="黑体" w:eastAsia="黑体" w:cs="仿宋"/>
                <w:bCs/>
                <w:color w:val="000000"/>
                <w:kern w:val="0"/>
                <w:sz w:val="24"/>
                <w:szCs w:val="24"/>
                <w:lang w:val="zh-CN" w:bidi="zh-CN"/>
              </w:rPr>
            </w:pPr>
            <w:r>
              <w:rPr>
                <w:rFonts w:hint="eastAsia" w:ascii="黑体" w:hAnsi="黑体" w:eastAsia="黑体" w:cs="仿宋"/>
                <w:bCs/>
                <w:color w:val="000000"/>
                <w:kern w:val="0"/>
                <w:sz w:val="24"/>
                <w:szCs w:val="24"/>
                <w:lang w:bidi="ar"/>
              </w:rPr>
              <w:t>评审结果</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SZQ20230100</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蔡杰</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宜宾职业技术学院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“泛娱乐化”短视频对高职学生的影响及对策研究</w:t>
            </w:r>
          </w:p>
        </w:tc>
        <w:tc>
          <w:tcPr>
            <w:tcW w:w="485" w:type="pct"/>
            <w:tcBorders>
              <w:top w:val="nil"/>
              <w:left w:val="nil"/>
              <w:bottom w:val="nil"/>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褚竹松</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四川警察学院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新时代公安英模精神融入公安院校“大思政”教育路径研究</w:t>
            </w:r>
          </w:p>
        </w:tc>
        <w:tc>
          <w:tcPr>
            <w:tcW w:w="485" w:type="pct"/>
            <w:tcBorders>
              <w:top w:val="single" w:color="000000" w:sz="8"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杜沅荫</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四川信息职业技术学院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大中小学思政课一体化共同体机制构建研究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冯卫卫</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南充文化旅游职业学院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精准思政视角下“四史”教育融入高职思政课教学策略探究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龚元园</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高职院校思政课教师网络育人能力提升研究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何为</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西华大学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新时代好青年“四大品质”的科学内涵与培养路径研究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黄晓丽</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四川西南航空职业学院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大思政视域下红色航空文化在民航思政课中的应用研究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黄雪垠</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四川师范大学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信息化背景下高中思想政治课议题式教学应用研究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贾洁</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四川文轩职业学院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“两个结合”视域下中华优秀传统文化融入高校思政课的路径研究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10</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SZQ20230110</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李雪梅</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达州职业技术学院</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人工智能时代网络意识形态治理研究</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11</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SZQ20230112</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刘海军</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成都中医药大学</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新时代高校思想政治理论课培育大学生正确党史观研究</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12</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SZQ20230113</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刘露</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南充科技职业学院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大思政视域下高职院校学生工匠精神培育研究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刘敏</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四川文化产业职业学院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四川非遗文化资源在高校思政课教学中的价值与应用研究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刘应松</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四川水利职业技术学院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网络强国背景下高职院校学生网络文明素养培育研究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罗春艺</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成都体育学院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成都大运会文化融入高校思想政治理论课的实践路径研究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马海瑞</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四川民族学院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甘孜红色文化资源融入高校思政课教学的路径研究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马雨蒙</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四川传媒学院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传媒院校思想政治理论课教师数字责任的养成路径研究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彭晓红</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成都锦城学院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新时代廉洁文化有效融入高校思政课教学的路径研究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19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SZQ20230120</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强娇娇</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四川信息职业技术学院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“大思政课”视域下高职院校思政课“三题三制分众式”教学模式研究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瞿懿韬</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成都工业学院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学习进阶理论视域下大中小学思政课“三维四共”体系建设路径研究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eastAsia="宋体" w:cs="宋体"/>
                <w:kern w:val="0"/>
                <w:sz w:val="24"/>
                <w:szCs w:val="24"/>
                <w:lang w:bidi="ar"/>
              </w:rPr>
              <w:t>凃玥</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一体化建设背景下高校思政课教学效果提升路径研究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王夏杰</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西南财经大学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历史主动精神融入“概论”课教学研究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王贤</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四川交通职业技术学院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产教融合背景下交通类高职院校行业精神融入思政课教学研究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24</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SZQ20230130</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王奕丹</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成都职业技术学院</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巴蜀文化融入高校思想政治教育路径探究</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25</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SZQ20230131</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吴颖</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成都医学院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积极心理视阈下新时代大学生优势品格建构研究</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26</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SZQ20230132</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肖杰</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四川大学</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中华文明和平性的历史渊源及世界意义研究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邢敏</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成都航空职业技术大学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人工智能与高校思政课的融合研究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宿燕琴</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乐山职业技术学院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四川红色文化融入高校思想政治教育的路径研究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29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杨维</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四川文化产业职业学院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“大思政课”视域下构建高职思政课实践育人机制研究</w:t>
            </w:r>
          </w:p>
        </w:tc>
        <w:tc>
          <w:tcPr>
            <w:tcW w:w="485"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尤杰</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成都工贸职业技术学院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思政课一体化背景下中高职法治教育衔接路径研究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张德荣</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成都工业职业技术学院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“大思政课”视域下高职思政课实践教学体系构建研究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张广浩</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四川大学锦江学院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基于生成式课程理论的应用型大学思想政治理论课实施方案应用研究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赵扬</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中国民用航空飞行学院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高校思想政治理论课筑牢中华民族共同体意识的实践路径研究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朱晓静</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成都中医药大学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推动学校、社会、家庭协同建设高校大思政课合力研究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卓兴鹏</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攀枝花学院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三线建设人物故事培育大学生艰苦奋斗品质研究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蔡姿先</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绵阳职业技术学院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基于问题导向的“习近平新时代中国特色社会主义思想概论”课教学研究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陈泓君</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西华师范大学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中国共产党推进中国式现代化的百年进程及启示研究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38</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SZQ20230149</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程志高</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四川开放大学</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新时代成人高校“大思政课”实现路径研究</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39</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SZQ20230150</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代丽</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武警警官学院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为战育人导向下军校思政课“三实三动”教学模式构建研究</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40</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SZQ20230153</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胡梦铃</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雅安职业技术学院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“两个结合”视域下雅安红色文化资源融入高职思政课教学研究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李卫星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四川幼儿师范高等专科学校</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蜀道翠云廊古柏文化融入高职院校思政课探究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刘佳旭</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四川城市职业学院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红色文化融入高职院校思政课教学的实践理路研究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SZQ20230160</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刘萍</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绵阳城市学院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ChatGPT赋能高校思想政治教育的挑战与对策研究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刘璇</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四川邮电职业技术学院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“大思政课”视域下提升高职思政课高阶性与创新性的路径研究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刘学美</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成都工业学院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工业文化自信融入工科院校思想政治理论课的价值与路径研究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刘叶勇</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四川三河职业学院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地方优秀传统文化融入高职院校思政教学的路径研究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罗攀</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四川工商职业技术学院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智慧教育背景下高职院校思政课教师信息化教学能力提升路径研究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吕欢</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泸州职业技术学院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中高职思政课实践教学一体化建设探究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49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孟秋燕</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四川邮电职业技术学院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新媒体视域下红色家书融入高职院校思想政治教育路径研究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倪艺真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甘孜职业学院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牢铸中华民族共同体意识的民族地区高职院校思政课堂探究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SZQ20230170</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聂娟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四川农业大学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治蜀兴川战略下四川长征文化融入新时代高校思政课的逻辑建构理路</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52</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SZQ20230171</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彭丽</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四川工程职业技术学院</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高职院校教师教学能力大赛与思政课教学整合创新研究</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53</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SZQ20230172</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任毅</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川北医学院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医学院校医学社会史中课程思政素材的研究</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54</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SZQ20230173</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任自林</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乐山师范学院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基于师范院校“美育+思政”协同育人模式构建</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粟薪樾</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中国民用航空飞行学院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党的二十大精神融入《中共党史》课程教学设计研究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SZQ20230179</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汪治宇</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成都体育学院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优秀文艺作品融入高校思想政治理论课研究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SZQ20230180</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王代静</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西南财经大学天府学院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新时代共同富裕思想融入思政课程的实践路径研究</w:t>
            </w:r>
          </w:p>
        </w:tc>
        <w:tc>
          <w:tcPr>
            <w:tcW w:w="485"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王锋</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德阳开放大学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新时代背景下的成人思政活动内涵化研究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59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王红云</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电子科技大学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新时代高校思想政治理论课公众形象塑造研究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王瑞娟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四川卫生康复职业学院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医卫类高职院校康复治疗技术专业推进课程思政路径研究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王瑜</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四川航天职业技术学院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斗争精神融入高职院校思政课实践教学研究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夏杰平</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四川希望汽车职业学院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产教融合背景下职业院校学生“工匠精神”培养路径研究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肖杨</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四川幼儿师范高等专科学校</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伟大建党精神精准融入高校思想政治理论课的实践路径研究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熊祥梅</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眉山职业技术学院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东坡文化融入高职思政课的价值意蕴及实践路径研究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徐雪梅</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电子科技大学成都学院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《习近平新时代中国特色社会主义思想概论》课程精准教学模式研究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66</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SZQ20230191</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杨羚</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四川中医药高等专科学校</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中国共产党共同富裕思想融入“毛中特”课程的路径与价值研究</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67</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SZQ20230192</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张庆虹</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四川外国语大学成都学院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“两个结合”融入民办高校思政课实践教学路径研究</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68</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SZQ20230193</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张甜</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西南交通大学希望学院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“大思政课”视域下四川地方志资源融入高校思政课教学的路径研究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69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赵新华</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四川建筑职业技术学院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高职院校提升“习近平新时代中国特色社会主义思想概论”课教学实效性的研究—基于“四个认同”视角</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卓昱含</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中国民用航空飞行学院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公共精神融入高校思政课教学的实践路径研究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邹珍妮</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成都信息工程大学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“大思政课”视域下时政案例在高校思政教育中的应用研究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左勇超</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南充科技职业学院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“四位一体”推进“大思政课”建设的实践探索</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同意结项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SZQ20230105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韩媚</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基于中华优秀传统文化传承的高校思政课程建设探究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SZQ20230111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梁越月</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四川水利职业技术学院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精准育人视角下中高职思政课一体化路径研究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任小琴</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西华师范大学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青少年幸福观教育及“躺平”文化辨析</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SZQ20230123</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田菲菲</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广元中核职业技术学院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自我调节学习理论视角下高职学生网络素养的培育</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王彩霞</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四川铁道职业学院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“三全育人”视域下高校发展型资助育人模式探究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王骞</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成都文理学院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影视戏剧表演教学中思政教育的建立与实施路径研究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79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SZQ20230127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王诗倩</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成都纺织高等专科学校</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中华优秀传统文化融入思想政治理论课的向度与路径研究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80</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SZQ20230136</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杨伊</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西南石油大学</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融媒体时代高校思想政治教育的语境分析及创新探析</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81</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SZQ20230140</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张咪</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成都锦城学院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新时代高校生态文明教育：现实难题与路径探索</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82</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SZQ20230141</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张艺耀</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南充文化旅游职业学院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新时代高校思政课讲好中国故事策略研究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宝娟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成都纺织高等专科学校</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高职院校思政课铸牢中华民族共同体意识教育的实践探索</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84</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SZQ20230147</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曾艳萍</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四川警察学院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总体国家安全观融入公安院校专业课程思政教学研究——以“安全技术防范”课程为例</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85</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辜靖雯</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内江卫生与健康职业学院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医药卫生类高职院校思想政治教育加强“以美育人”的路径探析</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86</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何敏</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宜宾学院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中华优秀传统文化融入大中小学思政课一体化建设研究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87</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黄桂霖</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广安职业技术学院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高职院校大学生思政仪式感培育及其作用研究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88</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SZQ20230155</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金寿莲</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四川水利职业技术学院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高校“三全育人”动力机制构建的调查研究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89</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SZQ20230156</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李丹丹</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四川工商职业技术学院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乡村振兴中农村基层党组织建设研究—以都江堰JY社区为例</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90</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SZQ20230158</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李学兵</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内江师范学院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大数据思想政治教育模式建构研究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91</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SZQ20230161</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刘欣</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川南幼儿师范高等专科学校</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智慧思政背景下提升思政课三性一力的路径研究</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92</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SZQ20230162</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刘星</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西南石油大学</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教育数字化转型中高校思想政治理论课教师信息化能力提升研究——以四川高校为例</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93</w:t>
            </w:r>
          </w:p>
        </w:tc>
        <w:tc>
          <w:tcPr>
            <w:tcW w:w="64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SZQ20230174</w:t>
            </w:r>
          </w:p>
        </w:tc>
        <w:tc>
          <w:tcPr>
            <w:tcW w:w="658"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宋志萍</w:t>
            </w:r>
          </w:p>
        </w:tc>
        <w:tc>
          <w:tcPr>
            <w:tcW w:w="797"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四川司法警官职业学院</w:t>
            </w:r>
          </w:p>
        </w:tc>
        <w:tc>
          <w:tcPr>
            <w:tcW w:w="2170"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四破四立：基于警察类职教特点的思政课教学设计与实施——以“习近平新时代中国特色社会主义思想概论”课为例</w:t>
            </w:r>
          </w:p>
        </w:tc>
        <w:tc>
          <w:tcPr>
            <w:tcW w:w="485" w:type="pct"/>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nil"/>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94</w:t>
            </w:r>
          </w:p>
        </w:tc>
        <w:tc>
          <w:tcPr>
            <w:tcW w:w="64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SZQ20230176</w:t>
            </w:r>
          </w:p>
        </w:tc>
        <w:tc>
          <w:tcPr>
            <w:tcW w:w="658"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唐上钧</w:t>
            </w:r>
          </w:p>
        </w:tc>
        <w:tc>
          <w:tcPr>
            <w:tcW w:w="797"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成都师范学院</w:t>
            </w:r>
          </w:p>
        </w:tc>
        <w:tc>
          <w:tcPr>
            <w:tcW w:w="2170"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高校铸牢中华民族共同体意识教育的网络场域建设</w:t>
            </w:r>
          </w:p>
        </w:tc>
        <w:tc>
          <w:tcPr>
            <w:tcW w:w="485" w:type="pct"/>
            <w:tcBorders>
              <w:top w:val="nil"/>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95</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SZQ20230177</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唐诗茹</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吉利学院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数字赋能教育：“双问题链”模式建构高校思政课教学体系新探索</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96</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SZQ20230178</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田梓</w:t>
            </w:r>
            <w:r>
              <w:rPr>
                <w:rFonts w:hint="eastAsia" w:eastAsia="宋体" w:cs="宋体"/>
                <w:kern w:val="0"/>
                <w:sz w:val="24"/>
                <w:szCs w:val="24"/>
                <w:lang w:bidi="ar"/>
              </w:rPr>
              <w:t>燚</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西南医科大学</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“第二个结合”视域下中华民族现代文明的历史根脉与创新创造研究</w:t>
            </w:r>
          </w:p>
        </w:tc>
        <w:tc>
          <w:tcPr>
            <w:tcW w:w="485"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auto" w:sz="4" w:space="0"/>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97</w:t>
            </w:r>
          </w:p>
        </w:tc>
        <w:tc>
          <w:tcPr>
            <w:tcW w:w="64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SZQ20230189</w:t>
            </w:r>
          </w:p>
        </w:tc>
        <w:tc>
          <w:tcPr>
            <w:tcW w:w="658"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严涛</w:t>
            </w:r>
          </w:p>
        </w:tc>
        <w:tc>
          <w:tcPr>
            <w:tcW w:w="797"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四川铁道职业学院</w:t>
            </w:r>
          </w:p>
        </w:tc>
        <w:tc>
          <w:tcPr>
            <w:tcW w:w="2170" w:type="pct"/>
            <w:tcBorders>
              <w:top w:val="single" w:color="auto" w:sz="4" w:space="0"/>
              <w:left w:val="nil"/>
              <w:bottom w:val="single" w:color="auto" w:sz="4"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“大思政课”视域下构建高职特色思政课教学模式探索与实践</w:t>
            </w:r>
          </w:p>
        </w:tc>
        <w:tc>
          <w:tcPr>
            <w:tcW w:w="485" w:type="pct"/>
            <w:tcBorders>
              <w:top w:val="single" w:color="auto" w:sz="4" w:space="0"/>
              <w:left w:val="nil"/>
              <w:bottom w:val="single" w:color="auto" w:sz="4" w:space="0"/>
              <w:right w:val="single" w:color="auto" w:sz="4"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r>
        <w:tblPrEx>
          <w:tblCellMar>
            <w:top w:w="0" w:type="dxa"/>
            <w:left w:w="108" w:type="dxa"/>
            <w:bottom w:w="0" w:type="dxa"/>
            <w:right w:w="108" w:type="dxa"/>
          </w:tblCellMar>
        </w:tblPrEx>
        <w:trPr>
          <w:trHeight w:val="624" w:hRule="atLeast"/>
          <w:jc w:val="center"/>
        </w:trPr>
        <w:tc>
          <w:tcPr>
            <w:tcW w:w="243" w:type="pc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98</w:t>
            </w:r>
          </w:p>
        </w:tc>
        <w:tc>
          <w:tcPr>
            <w:tcW w:w="64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SZQ20230190</w:t>
            </w:r>
          </w:p>
        </w:tc>
        <w:tc>
          <w:tcPr>
            <w:tcW w:w="658"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黄希</w:t>
            </w:r>
          </w:p>
        </w:tc>
        <w:tc>
          <w:tcPr>
            <w:tcW w:w="797"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四川传媒学院</w:t>
            </w:r>
          </w:p>
        </w:tc>
        <w:tc>
          <w:tcPr>
            <w:tcW w:w="2170"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习近平关于青年奋斗的论述融入高校“思想道德与法治”课教学研究</w:t>
            </w:r>
          </w:p>
        </w:tc>
        <w:tc>
          <w:tcPr>
            <w:tcW w:w="485" w:type="pct"/>
            <w:tcBorders>
              <w:top w:val="single" w:color="auto" w:sz="4" w:space="0"/>
              <w:left w:val="nil"/>
              <w:bottom w:val="single" w:color="000000" w:sz="8" w:space="0"/>
              <w:right w:val="single" w:color="000000" w:sz="8" w:space="0"/>
            </w:tcBorders>
            <w:shd w:val="clear" w:color="auto" w:fill="auto"/>
            <w:noWrap w:val="0"/>
            <w:vAlign w:val="center"/>
          </w:tcPr>
          <w:p>
            <w:pPr>
              <w:jc w:val="center"/>
              <w:textAlignment w:val="center"/>
              <w:rPr>
                <w:rFonts w:hint="eastAsia" w:cs="宋体"/>
                <w:kern w:val="0"/>
                <w:sz w:val="24"/>
                <w:szCs w:val="24"/>
                <w:lang w:bidi="ar"/>
              </w:rPr>
            </w:pPr>
            <w:r>
              <w:rPr>
                <w:rFonts w:hint="eastAsia" w:cs="仿宋"/>
                <w:kern w:val="0"/>
                <w:sz w:val="24"/>
                <w:szCs w:val="24"/>
                <w:lang w:bidi="ar"/>
              </w:rPr>
              <w:t>延期结项</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F85804-517B-416B-A8B7-6A44F99C1E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AEED16-E08E-40A2-A08B-878E2A0393A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84CA86F-ACDF-49D2-87F7-E4D9AB9BB8B5}"/>
  </w:font>
  <w:font w:name="方正小标宋简体">
    <w:panose1 w:val="03000509000000000000"/>
    <w:charset w:val="86"/>
    <w:family w:val="auto"/>
    <w:pitch w:val="default"/>
    <w:sig w:usb0="00000001" w:usb1="080E0000" w:usb2="00000000" w:usb3="00000000" w:csb0="00040000" w:csb1="00000000"/>
    <w:embedRegular r:id="rId4" w:fontKey="{8BEB3593-412D-4182-B217-130A27524AFE}"/>
  </w:font>
  <w:font w:name="仿宋">
    <w:panose1 w:val="02010609060101010101"/>
    <w:charset w:val="86"/>
    <w:family w:val="auto"/>
    <w:pitch w:val="default"/>
    <w:sig w:usb0="800002BF" w:usb1="38CF7CFA" w:usb2="00000016" w:usb3="00000000" w:csb0="00040001" w:csb1="00000000"/>
    <w:embedRegular r:id="rId5" w:fontKey="{DB3BE90D-0C1D-43D8-B4CF-F381EF512C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33F33757"/>
    <w:rsid w:val="33F3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default" w:ascii="Times New Roman" w:hAnsi="Times New Roman" w:eastAsia="仿宋_GB2312" w:cs="Times New Roman"/>
      <w:kern w:val="2"/>
      <w:sz w:val="32"/>
      <w:szCs w:val="32"/>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2025-10-09T07:19:00Z</dcterms:created>
  <dc:creator>Colamilkshake</dc:creator>
  <cp:lastModifiedBy>Colamilkshake</cp:lastModifiedBy>
  <dcterms:modified xsi:type="dcterms:W3CDTF">2025-10-09T07:20:31Z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1C7597E0E80B46BC89CE620959F5E760_11</vt:lpwstr>
  </property>
</Properties>
</file>