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eastAsia="黑体"/>
        </w:rPr>
      </w:pPr>
      <w:r>
        <w:rPr>
          <w:rFonts w:eastAsia="黑体"/>
        </w:rPr>
        <w:t>附件1</w:t>
      </w:r>
    </w:p>
    <w:p>
      <w:pPr>
        <w:ind w:firstLine="640" w:firstLineChars="200"/>
      </w:pPr>
    </w:p>
    <w:p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/>
          <w:bCs/>
          <w:sz w:val="44"/>
          <w:szCs w:val="44"/>
        </w:rPr>
        <w:t>四川省高等学校重点实验室评估指标体系</w:t>
      </w:r>
    </w:p>
    <w:p>
      <w:pPr>
        <w:ind w:firstLine="640" w:firstLineChars="200"/>
        <w:rPr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013"/>
        <w:gridCol w:w="3848"/>
        <w:gridCol w:w="1077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一级指标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权重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二级指标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权重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07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研究水平与贡献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45％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t>总体定位与研究方向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t>5％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t>承担科研任务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t>10％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t>创新能力和成果水平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t>15％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t>科研成果转化情况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t>10％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t>公共服务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t>5％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5" w:hRule="atLeast"/>
          <w:jc w:val="center"/>
        </w:trPr>
        <w:tc>
          <w:tcPr>
            <w:tcW w:w="207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t>队伍建设与人才培养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t>30％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t>队伍建设与团队建设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t>10％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t>实验室主任与学术带头人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t>10％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t>人才培养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t>10％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07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t>开放交流与运行管理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25％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t>学术交流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</w:pPr>
            <w:r>
              <w:t>10％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t>运行管理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t>10％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5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t>所在</w:t>
            </w:r>
            <w:r>
              <w:rPr>
                <w:rFonts w:hint="eastAsia"/>
              </w:rPr>
              <w:t>高等学校</w:t>
            </w:r>
            <w:r>
              <w:t>的支持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t>5％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adjustRightInd w:val="0"/>
        <w:snapToGrid w:val="0"/>
        <w:spacing w:line="360" w:lineRule="auto"/>
        <w:rPr>
          <w:rFonts w:eastAsia="黑体"/>
          <w:b/>
          <w:bCs/>
        </w:rPr>
        <w:sectPr>
          <w:footerReference r:id="rId3" w:type="default"/>
          <w:pgSz w:w="11906" w:h="16838"/>
          <w:pgMar w:top="2098" w:right="1531" w:bottom="1984" w:left="1531" w:header="851" w:footer="1587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360" w:lineRule="auto"/>
        <w:rPr>
          <w:rFonts w:eastAsia="黑体"/>
          <w:b/>
          <w:bCs/>
        </w:rPr>
      </w:pPr>
      <w:r>
        <w:rPr>
          <w:rFonts w:eastAsia="黑体"/>
          <w:b/>
          <w:bCs/>
        </w:rPr>
        <w:t>指标体系说明：</w:t>
      </w:r>
    </w:p>
    <w:p>
      <w:pPr>
        <w:adjustRightInd w:val="0"/>
        <w:snapToGrid w:val="0"/>
        <w:spacing w:line="600" w:lineRule="exact"/>
        <w:ind w:firstLine="564"/>
        <w:rPr>
          <w:rFonts w:ascii="黑体" w:hAnsi="黑体" w:eastAsia="黑体"/>
          <w:bCs/>
        </w:rPr>
      </w:pPr>
      <w:r>
        <w:rPr>
          <w:rFonts w:ascii="黑体" w:hAnsi="黑体" w:eastAsia="黑体"/>
          <w:bCs/>
        </w:rPr>
        <w:t>一、研究水平与贡献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1、实验室以基础研究、应用基础研究和基础性工作为主，研究方向明确，重点突出。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2、有较强的承担国家和省级重大科研任务的能力，有较高的科研</w:t>
      </w:r>
      <w:r>
        <w:rPr>
          <w:rFonts w:ascii="Times New Roman" w:hAnsi="Times New Roman" w:eastAsia="仿宋_GB2312"/>
          <w:bCs/>
          <w:sz w:val="32"/>
          <w:szCs w:val="32"/>
        </w:rPr>
        <w:t>效率。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3、代表性成果</w:t>
      </w:r>
    </w:p>
    <w:p>
      <w:pPr>
        <w:topLinePunct/>
        <w:adjustRightInd w:val="0"/>
        <w:snapToGrid w:val="0"/>
        <w:spacing w:line="600" w:lineRule="exact"/>
        <w:ind w:firstLine="640" w:firstLineChars="200"/>
      </w:pPr>
      <w:r>
        <w:t>实验室择优提供不多于5项代表性成果。</w:t>
      </w:r>
      <w:r>
        <w:rPr>
          <w:bCs/>
        </w:rPr>
        <w:t>代表性成果指批准为重点实验室以来，本实验室产生的重大研究成果以及重大的国内外合作研究成果。</w:t>
      </w:r>
      <w:r>
        <w:t>提交时注明成果是否需要保密。</w:t>
      </w:r>
    </w:p>
    <w:p>
      <w:pPr>
        <w:topLinePunct/>
        <w:adjustRightInd w:val="0"/>
        <w:snapToGrid w:val="0"/>
        <w:spacing w:line="600" w:lineRule="exact"/>
        <w:ind w:firstLine="640" w:firstLineChars="200"/>
        <w:rPr>
          <w:szCs w:val="22"/>
        </w:rPr>
      </w:pPr>
      <w:r>
        <w:rPr>
          <w:szCs w:val="22"/>
        </w:rPr>
        <w:t>4、公共服务</w:t>
      </w:r>
    </w:p>
    <w:p>
      <w:pPr>
        <w:topLinePunct/>
        <w:adjustRightInd w:val="0"/>
        <w:snapToGrid w:val="0"/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指实验室在评估周期内开展的以为政府部门、社会机构、企业等解决重大技术难题与关键技术为目的的各类合作研究课题（一般是横向课题）。须附课题经费清单及证明材料。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实验室在评估周期内面向行业和社会开展的技术培训场次及人数。须附相关证明材料。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二、队伍建设与人才培养</w:t>
      </w:r>
    </w:p>
    <w:p>
      <w:pPr>
        <w:pStyle w:val="2"/>
        <w:adjustRightInd w:val="0"/>
        <w:snapToGrid w:val="0"/>
        <w:spacing w:line="600" w:lineRule="exact"/>
        <w:ind w:firstLine="56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实验室吸引和稳定高水平人才的措施得力、成效明显。</w:t>
      </w:r>
    </w:p>
    <w:p>
      <w:pPr>
        <w:pStyle w:val="2"/>
        <w:adjustRightInd w:val="0"/>
        <w:snapToGrid w:val="0"/>
        <w:spacing w:line="600" w:lineRule="exact"/>
        <w:ind w:firstLine="56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实验室主任应是本领域高水平的学术带头人或优秀青年学者，具有较强的组织管理和协调能力，有足够的时间和精力在实验室工作，在实验室的建设和发展中起主导作用。</w:t>
      </w:r>
    </w:p>
    <w:p>
      <w:pPr>
        <w:pStyle w:val="2"/>
        <w:adjustRightInd w:val="0"/>
        <w:snapToGrid w:val="0"/>
        <w:spacing w:line="600" w:lineRule="exact"/>
        <w:ind w:firstLine="56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研究队伍知识、学历、年龄结构合理，团结合作，学术气氛浓厚。</w:t>
      </w:r>
    </w:p>
    <w:p>
      <w:pPr>
        <w:pStyle w:val="2"/>
        <w:adjustRightInd w:val="0"/>
        <w:snapToGrid w:val="0"/>
        <w:spacing w:line="600" w:lineRule="exact"/>
        <w:ind w:firstLine="56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实验室聘任人员中多数参加了所提交的代表性成果的研究工作。</w:t>
      </w:r>
    </w:p>
    <w:p>
      <w:pPr>
        <w:adjustRightInd w:val="0"/>
        <w:snapToGrid w:val="0"/>
        <w:spacing w:line="600" w:lineRule="exact"/>
        <w:ind w:firstLine="564"/>
      </w:pPr>
      <w:r>
        <w:t>实验室是本学科领域高水平科研人才的培养基地，培养一定数量的博士后、研究生和优秀中青年人才，培养质量得到同行的认可。</w:t>
      </w:r>
    </w:p>
    <w:p>
      <w:pPr>
        <w:pStyle w:val="2"/>
        <w:adjustRightInd w:val="0"/>
        <w:snapToGrid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三、学术交流与运行管理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实验室仪器设备使用率高，鼓励自行研制、改造仪器设备。</w:t>
      </w:r>
    </w:p>
    <w:p>
      <w:pPr>
        <w:adjustRightInd w:val="0"/>
        <w:snapToGrid w:val="0"/>
        <w:spacing w:line="600" w:lineRule="exact"/>
        <w:ind w:firstLine="640" w:firstLineChars="200"/>
      </w:pPr>
      <w:r>
        <w:t>实验室坚持开展高水平、高层次和实质性的国内外学术交流与合作。实验室保持一定数量的流动科研人员。积极承办和参与国际性、地区性、全国性学术会议。</w:t>
      </w:r>
    </w:p>
    <w:p>
      <w:pPr>
        <w:adjustRightInd w:val="0"/>
        <w:snapToGrid w:val="0"/>
        <w:spacing w:line="600" w:lineRule="exact"/>
        <w:ind w:firstLine="640" w:firstLineChars="200"/>
      </w:pPr>
      <w:r>
        <w:t>实验室规章制度健全，日常管理科学有序。人员岗位职责明确，研究资料完整，环境整洁。实验室具有良好的科研氛围和学术风气，学术委员会充分发挥作用。</w:t>
      </w:r>
    </w:p>
    <w:p>
      <w:r>
        <w:t>实验室仪器设备和科研用房相对集中，所在</w:t>
      </w:r>
      <w:r>
        <w:rPr>
          <w:rFonts w:hint="eastAsia"/>
        </w:rPr>
        <w:t>高等学校</w:t>
      </w:r>
      <w:r>
        <w:t>在人员、政策、经费和后勤保障等方面给予大力支持。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7B9912-5C4D-4F15-B8AA-75FA15E188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02038C-2687-40D4-894F-EAB8A33287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AC98068-FC66-471A-95F8-0F34D8FB753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F8C4F2A-9657-44A7-9A04-477FE0381B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29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4EC7287D"/>
    <w:rsid w:val="4EC7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2023-05-24T03:40:00Z</dcterms:created>
  <dc:creator>胡豆儿</dc:creator>
  <cp:lastModifiedBy>胡豆儿</cp:lastModifiedBy>
  <dcterms:modified xsi:type="dcterms:W3CDTF">2023-05-24T03:41:00Z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5F32C78D442B47369C913F4B60A4E4D0_11</vt:lpwstr>
  </property>
</Properties>
</file>