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90"/>
        </w:tabs>
        <w:adjustRightInd w:val="0"/>
        <w:snapToGrid w:val="0"/>
        <w:spacing w:line="600" w:lineRule="exact"/>
        <w:rPr>
          <w:lang w:val="zh-CN"/>
        </w:rPr>
      </w:pPr>
      <w:r>
        <w:rPr>
          <w:rFonts w:eastAsia="黑体"/>
          <w:bCs/>
        </w:rPr>
        <w:t>附件2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四川省高等学校重点实验室</w:t>
      </w:r>
    </w:p>
    <w:p>
      <w:pPr>
        <w:tabs>
          <w:tab w:val="left" w:pos="10290"/>
        </w:tabs>
        <w:adjustRightInd w:val="0"/>
        <w:snapToGrid w:val="0"/>
        <w:spacing w:line="600" w:lineRule="exact"/>
        <w:jc w:val="center"/>
        <w:rPr>
          <w:rFonts w:eastAsia="方正小标宋简体"/>
          <w:spacing w:val="-17"/>
          <w:kern w:val="0"/>
          <w:sz w:val="44"/>
          <w:szCs w:val="44"/>
          <w:lang w:val="zh-CN"/>
        </w:rPr>
      </w:pPr>
      <w:r>
        <w:rPr>
          <w:rFonts w:eastAsia="方正小标宋简体"/>
          <w:spacing w:val="-17"/>
          <w:kern w:val="0"/>
          <w:sz w:val="44"/>
          <w:szCs w:val="44"/>
          <w:lang w:val="zh-CN"/>
        </w:rPr>
        <w:t>建设</w:t>
      </w:r>
      <w:r>
        <w:rPr>
          <w:rFonts w:hint="eastAsia" w:eastAsia="方正小标宋简体"/>
          <w:spacing w:val="-17"/>
          <w:kern w:val="0"/>
          <w:sz w:val="44"/>
          <w:szCs w:val="44"/>
          <w:lang w:val="zh-CN"/>
        </w:rPr>
        <w:t>项目</w:t>
      </w:r>
      <w:r>
        <w:rPr>
          <w:rFonts w:eastAsia="方正小标宋简体"/>
          <w:spacing w:val="-17"/>
          <w:kern w:val="0"/>
          <w:sz w:val="44"/>
          <w:szCs w:val="44"/>
          <w:lang w:val="zh-CN"/>
        </w:rPr>
        <w:t>计划任务书</w:t>
      </w:r>
    </w:p>
    <w:p>
      <w:pPr>
        <w:pStyle w:val="2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pStyle w:val="2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pStyle w:val="2"/>
        <w:rPr>
          <w:rFonts w:eastAsia="方正小标宋简体"/>
          <w:spacing w:val="-17"/>
          <w:kern w:val="0"/>
          <w:sz w:val="56"/>
          <w:szCs w:val="56"/>
          <w:lang w:val="zh-CN"/>
        </w:rPr>
      </w:pP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实验室名称：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学科（领域）分类：</w:t>
      </w:r>
      <w:r>
        <w:rPr>
          <w:rFonts w:eastAsia="黑体"/>
          <w:szCs w:val="28"/>
          <w:u w:val="single"/>
        </w:rPr>
        <w:t xml:space="preserve">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依托单位：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主管部门：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实验室负责人：</w:t>
      </w:r>
      <w:r>
        <w:rPr>
          <w:rFonts w:eastAsia="黑体"/>
          <w:szCs w:val="28"/>
          <w:u w:val="single"/>
        </w:rPr>
        <w:t xml:space="preserve">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  <w:u w:val="single"/>
        </w:rPr>
      </w:pPr>
      <w:r>
        <w:rPr>
          <w:rFonts w:eastAsia="黑体"/>
          <w:szCs w:val="28"/>
        </w:rPr>
        <w:t>联系电话：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电子邮箱：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10290"/>
        </w:tabs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通讯地址及邮编：</w:t>
      </w:r>
      <w:r>
        <w:rPr>
          <w:rFonts w:eastAsia="黑体"/>
          <w:szCs w:val="28"/>
          <w:u w:val="single"/>
        </w:rPr>
        <w:t xml:space="preserve">                                </w:t>
      </w:r>
    </w:p>
    <w:p>
      <w:pPr>
        <w:tabs>
          <w:tab w:val="left" w:pos="10290"/>
        </w:tabs>
        <w:adjustRightInd w:val="0"/>
        <w:snapToGrid w:val="0"/>
        <w:spacing w:line="560" w:lineRule="exact"/>
        <w:ind w:firstLine="640" w:firstLineChars="200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编制日期：</w:t>
      </w:r>
      <w:r>
        <w:rPr>
          <w:rFonts w:eastAsia="黑体"/>
          <w:szCs w:val="28"/>
          <w:u w:val="single"/>
        </w:rPr>
        <w:t xml:space="preserve">          </w:t>
      </w:r>
      <w:r>
        <w:rPr>
          <w:rFonts w:eastAsia="黑体"/>
          <w:szCs w:val="28"/>
        </w:rPr>
        <w:t>年</w:t>
      </w:r>
      <w:r>
        <w:rPr>
          <w:rFonts w:eastAsia="黑体"/>
          <w:szCs w:val="28"/>
          <w:u w:val="single"/>
        </w:rPr>
        <w:t xml:space="preserve">           </w:t>
      </w:r>
      <w:r>
        <w:rPr>
          <w:rFonts w:eastAsia="黑体"/>
          <w:szCs w:val="28"/>
        </w:rPr>
        <w:t>月</w:t>
      </w:r>
      <w:r>
        <w:rPr>
          <w:rFonts w:eastAsia="黑体"/>
          <w:szCs w:val="28"/>
          <w:u w:val="single"/>
        </w:rPr>
        <w:t xml:space="preserve">           </w:t>
      </w:r>
      <w:r>
        <w:rPr>
          <w:rFonts w:eastAsia="黑体"/>
          <w:szCs w:val="28"/>
        </w:rPr>
        <w:t>日</w:t>
      </w: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  <w:sz w:val="36"/>
        </w:rPr>
      </w:pPr>
    </w:p>
    <w:p>
      <w:pPr>
        <w:pStyle w:val="7"/>
        <w:ind w:firstLine="0"/>
        <w:jc w:val="center"/>
      </w:pPr>
    </w:p>
    <w:p>
      <w:pPr>
        <w:tabs>
          <w:tab w:val="left" w:pos="10290"/>
        </w:tabs>
        <w:adjustRightInd w:val="0"/>
        <w:snapToGrid w:val="0"/>
        <w:spacing w:line="560" w:lineRule="exact"/>
        <w:jc w:val="center"/>
        <w:rPr>
          <w:rFonts w:eastAsia="黑体"/>
        </w:rPr>
      </w:pPr>
      <w:r>
        <w:rPr>
          <w:rFonts w:eastAsia="黑体"/>
        </w:rPr>
        <w:t>四川省教育厅</w:t>
      </w:r>
    </w:p>
    <w:p>
      <w:pPr>
        <w:tabs>
          <w:tab w:val="left" w:pos="6743"/>
        </w:tabs>
        <w:jc w:val="center"/>
        <w:rPr>
          <w:rFonts w:eastAsia="黑体"/>
        </w:rPr>
        <w:sectPr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  <w:r>
        <w:rPr>
          <w:rFonts w:eastAsia="黑体"/>
        </w:rPr>
        <w:t>2022年制</w:t>
      </w:r>
    </w:p>
    <w:p>
      <w:pPr>
        <w:ind w:firstLine="640" w:firstLineChars="200"/>
        <w:rPr>
          <w:bCs/>
        </w:rPr>
      </w:pPr>
    </w:p>
    <w:p>
      <w:pPr>
        <w:tabs>
          <w:tab w:val="left" w:pos="6743"/>
        </w:tabs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/>
          <w:bCs/>
          <w:sz w:val="44"/>
          <w:szCs w:val="44"/>
        </w:rPr>
        <w:t>四川省高等学校重点实验室</w:t>
      </w:r>
    </w:p>
    <w:p>
      <w:pPr>
        <w:tabs>
          <w:tab w:val="left" w:pos="6743"/>
        </w:tabs>
        <w:spacing w:line="7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/>
          <w:bCs/>
          <w:sz w:val="44"/>
          <w:szCs w:val="44"/>
        </w:rPr>
        <w:t>建设项目计划任务书</w:t>
      </w:r>
    </w:p>
    <w:p>
      <w:pPr>
        <w:tabs>
          <w:tab w:val="left" w:pos="6743"/>
        </w:tabs>
        <w:adjustRightInd w:val="0"/>
        <w:spacing w:line="700" w:lineRule="exact"/>
        <w:ind w:right="57"/>
        <w:jc w:val="center"/>
        <w:rPr>
          <w:rFonts w:eastAsia="楷体_GB2312"/>
          <w:bCs/>
        </w:rPr>
      </w:pPr>
      <w:r>
        <w:rPr>
          <w:rFonts w:eastAsia="楷体_GB2312"/>
          <w:bCs/>
        </w:rPr>
        <w:t>（格式）</w:t>
      </w:r>
    </w:p>
    <w:p>
      <w:pPr>
        <w:tabs>
          <w:tab w:val="left" w:pos="6743"/>
        </w:tabs>
        <w:ind w:firstLine="640" w:firstLineChars="200"/>
        <w:rPr>
          <w:bCs/>
        </w:rPr>
      </w:pPr>
    </w:p>
    <w:p>
      <w:pPr>
        <w:spacing w:line="520" w:lineRule="exact"/>
        <w:ind w:firstLine="640" w:firstLineChars="200"/>
        <w:rPr>
          <w:bCs/>
        </w:rPr>
      </w:pPr>
      <w:r>
        <w:rPr>
          <w:bCs/>
        </w:rPr>
        <w:t>一、实验室的研究方向，主要研究内容，预期达到的目标</w:t>
      </w:r>
    </w:p>
    <w:p>
      <w:pPr>
        <w:spacing w:line="520" w:lineRule="exact"/>
        <w:ind w:firstLine="640" w:firstLineChars="200"/>
        <w:rPr>
          <w:bCs/>
        </w:rPr>
      </w:pPr>
      <w:r>
        <w:rPr>
          <w:bCs/>
        </w:rPr>
        <w:t>二、队伍建设及人才培养的计划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（1）学术带头人介绍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（2）</w:t>
      </w:r>
      <w:r>
        <w:rPr>
          <w:rFonts w:hint="eastAsia"/>
          <w:bCs/>
        </w:rPr>
        <w:t>科技</w:t>
      </w:r>
      <w:r>
        <w:rPr>
          <w:bCs/>
        </w:rPr>
        <w:t>人才情况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（3）人才培养能力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（4）稳定和吸引</w:t>
      </w:r>
      <w:r>
        <w:rPr>
          <w:rFonts w:hint="eastAsia"/>
          <w:bCs/>
        </w:rPr>
        <w:t>科技</w:t>
      </w:r>
      <w:r>
        <w:rPr>
          <w:bCs/>
        </w:rPr>
        <w:t>人才的措施</w:t>
      </w:r>
    </w:p>
    <w:p>
      <w:pPr>
        <w:spacing w:line="520" w:lineRule="exact"/>
        <w:ind w:firstLine="640" w:firstLineChars="200"/>
        <w:rPr>
          <w:bCs/>
        </w:rPr>
      </w:pPr>
      <w:r>
        <w:rPr>
          <w:bCs/>
        </w:rPr>
        <w:t>三、建设规模</w:t>
      </w:r>
    </w:p>
    <w:p>
      <w:pPr>
        <w:spacing w:line="520" w:lineRule="exact"/>
        <w:ind w:firstLine="640" w:firstLineChars="200"/>
        <w:rPr>
          <w:bCs/>
        </w:rPr>
      </w:pPr>
      <w:r>
        <w:rPr>
          <w:bCs/>
        </w:rPr>
        <w:t>（1）建设经费概算、落实计划</w:t>
      </w:r>
    </w:p>
    <w:p>
      <w:pPr>
        <w:spacing w:line="520" w:lineRule="exact"/>
        <w:ind w:firstLine="640" w:firstLineChars="200"/>
        <w:rPr>
          <w:bCs/>
        </w:rPr>
      </w:pPr>
      <w:r>
        <w:rPr>
          <w:bCs/>
        </w:rPr>
        <w:t>（2）实验室各研究</w:t>
      </w:r>
      <w:r>
        <w:rPr>
          <w:rFonts w:hint="eastAsia"/>
          <w:bCs/>
        </w:rPr>
        <w:t>方向</w:t>
      </w:r>
      <w:r>
        <w:rPr>
          <w:bCs/>
        </w:rPr>
        <w:t>的构成</w:t>
      </w:r>
    </w:p>
    <w:p>
      <w:pPr>
        <w:spacing w:line="520" w:lineRule="exact"/>
        <w:ind w:firstLine="640" w:firstLineChars="200"/>
        <w:rPr>
          <w:bCs/>
        </w:rPr>
      </w:pPr>
      <w:r>
        <w:rPr>
          <w:bCs/>
        </w:rPr>
        <w:t>（3）主要购置、配备的仪器、设备（附清单）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四、实验室管理（运行管理、合理利用资源、人员聘用及流动等）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五、</w:t>
      </w:r>
      <w:r>
        <w:rPr>
          <w:rFonts w:hint="eastAsia"/>
          <w:bCs/>
        </w:rPr>
        <w:t>依托高等学校</w:t>
      </w:r>
      <w:r>
        <w:rPr>
          <w:bCs/>
        </w:rPr>
        <w:t>给予的支持 、配套经费及运行费落实情况，联合申报的协作单位给予的支持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六、联合、开放设想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七、实验室主任及学术委员会主任的提名及介绍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八、</w:t>
      </w:r>
      <w:r>
        <w:rPr>
          <w:rFonts w:hint="eastAsia"/>
          <w:bCs/>
        </w:rPr>
        <w:t>依托高等学校</w:t>
      </w:r>
      <w:r>
        <w:rPr>
          <w:bCs/>
        </w:rPr>
        <w:t>意见</w:t>
      </w:r>
    </w:p>
    <w:p>
      <w:pPr>
        <w:tabs>
          <w:tab w:val="left" w:pos="6743"/>
        </w:tabs>
        <w:spacing w:line="520" w:lineRule="exact"/>
        <w:ind w:firstLine="640" w:firstLineChars="200"/>
        <w:rPr>
          <w:bCs/>
        </w:rPr>
      </w:pPr>
      <w:r>
        <w:rPr>
          <w:bCs/>
        </w:rPr>
        <w:t>九、专家论证意见</w:t>
      </w:r>
    </w:p>
    <w:p>
      <w:pPr>
        <w:tabs>
          <w:tab w:val="left" w:pos="6743"/>
        </w:tabs>
        <w:spacing w:line="520" w:lineRule="exact"/>
        <w:ind w:firstLine="640" w:firstLineChars="200"/>
      </w:pPr>
      <w:bookmarkStart w:id="0" w:name="_GoBack"/>
      <w:bookmarkEnd w:id="0"/>
      <w:r>
        <w:rPr>
          <w:bCs/>
        </w:rPr>
        <w:t>十、教育厅审批意见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CCEF3ED-A693-4A21-B0EA-408863D9598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B5F4911-8088-4259-B78A-FBC858CDBF1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5523E98-5264-46BE-A6D9-480DD6CA6B8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6CCD44E7"/>
    <w:rsid w:val="6CC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nhideWhenUsed/>
    <w:qFormat/>
    <w:uiPriority w:val="0"/>
  </w:style>
  <w:style w:type="paragraph" w:customStyle="1" w:styleId="7">
    <w:name w:val="文本"/>
    <w:basedOn w:val="1"/>
    <w:next w:val="2"/>
    <w:qFormat/>
    <w:uiPriority w:val="99"/>
    <w:pPr>
      <w:spacing w:line="360" w:lineRule="auto"/>
      <w:ind w:firstLine="48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2023-05-24T03:32:00Z</dcterms:created>
  <dc:creator>胡豆儿</dc:creator>
  <cp:lastModifiedBy>胡豆儿</cp:lastModifiedBy>
  <dcterms:modified xsi:type="dcterms:W3CDTF">2023-05-24T03:32:26Z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7A73A07383CF48A48F85A0D02119FECD_11</vt:lpwstr>
  </property>
</Properties>
</file>