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_GBK" w:eastAsia="方正小标宋_GBK"/>
          <w:sz w:val="40"/>
          <w:szCs w:val="40"/>
        </w:rPr>
      </w:pPr>
      <w:bookmarkStart w:id="1" w:name="_GoBack"/>
      <w:bookmarkEnd w:id="1"/>
      <w:r>
        <w:rPr>
          <w:rFonts w:ascii="方正小标宋_GBK" w:eastAsia="方正小标宋_GBK"/>
          <w:sz w:val="40"/>
          <w:szCs w:val="40"/>
        </w:rPr>
        <w:t>四川省教育厅</w:t>
      </w:r>
      <w:r>
        <w:rPr>
          <w:rFonts w:hint="eastAsia" w:ascii="方正小标宋_GBK" w:eastAsia="方正小标宋_GBK"/>
          <w:sz w:val="40"/>
          <w:szCs w:val="40"/>
        </w:rPr>
        <w:t>等八部门</w:t>
      </w:r>
      <w:r>
        <w:rPr>
          <w:rFonts w:ascii="方正小标宋_GBK" w:eastAsia="方正小标宋_GBK"/>
          <w:sz w:val="40"/>
          <w:szCs w:val="40"/>
        </w:rPr>
        <w:t>关于印发</w:t>
      </w:r>
    </w:p>
    <w:p>
      <w:pPr>
        <w:spacing w:line="620" w:lineRule="exact"/>
        <w:jc w:val="center"/>
        <w:rPr>
          <w:rFonts w:ascii="方正小标宋_GBK" w:eastAsia="方正小标宋_GBK"/>
          <w:spacing w:val="-8"/>
          <w:sz w:val="40"/>
          <w:szCs w:val="40"/>
        </w:rPr>
      </w:pPr>
      <w:r>
        <w:rPr>
          <w:rFonts w:hint="eastAsia" w:ascii="方正小标宋_GBK" w:eastAsia="方正小标宋_GBK"/>
          <w:spacing w:val="-8"/>
          <w:sz w:val="40"/>
          <w:szCs w:val="40"/>
        </w:rPr>
        <w:t>《四川省非学科类校外培训机构管理办法（试行）》</w:t>
      </w:r>
    </w:p>
    <w:p>
      <w:pPr>
        <w:spacing w:line="620" w:lineRule="exact"/>
        <w:jc w:val="center"/>
        <w:rPr>
          <w:rFonts w:ascii="方正小标宋_GBK" w:eastAsia="方正小标宋_GBK"/>
          <w:spacing w:val="-8"/>
          <w:sz w:val="40"/>
          <w:szCs w:val="40"/>
        </w:rPr>
      </w:pPr>
      <w:r>
        <w:rPr>
          <w:rFonts w:hint="eastAsia" w:ascii="方正小标宋_GBK" w:eastAsia="方正小标宋_GBK"/>
          <w:spacing w:val="-8"/>
          <w:sz w:val="40"/>
          <w:szCs w:val="40"/>
        </w:rPr>
        <w:t>《四川省文化艺术类校外培训机构设置标准（试行）》《四川省科技类校外培训机构设置标准（试行）》</w:t>
      </w:r>
    </w:p>
    <w:p>
      <w:pPr>
        <w:spacing w:line="620" w:lineRule="exact"/>
        <w:jc w:val="center"/>
        <w:rPr>
          <w:rFonts w:ascii="方正小标宋_GBK" w:eastAsia="方正小标宋_GBK"/>
          <w:spacing w:val="-8"/>
          <w:sz w:val="40"/>
          <w:szCs w:val="40"/>
        </w:rPr>
      </w:pPr>
      <w:r>
        <w:rPr>
          <w:rFonts w:hint="eastAsia" w:ascii="方正小标宋_GBK" w:eastAsia="方正小标宋_GBK"/>
          <w:spacing w:val="-8"/>
          <w:sz w:val="40"/>
          <w:szCs w:val="40"/>
        </w:rPr>
        <w:t>《四川省体育类校外培训机构设置标准</w:t>
      </w:r>
    </w:p>
    <w:p>
      <w:pPr>
        <w:spacing w:line="620" w:lineRule="exact"/>
        <w:jc w:val="center"/>
        <w:rPr>
          <w:rFonts w:ascii="方正小标宋_GBK" w:eastAsia="方正小标宋_GBK"/>
          <w:spacing w:val="-8"/>
          <w:sz w:val="40"/>
          <w:szCs w:val="40"/>
        </w:rPr>
      </w:pPr>
      <w:r>
        <w:rPr>
          <w:rFonts w:hint="eastAsia" w:ascii="方正小标宋_GBK" w:eastAsia="方正小标宋_GBK"/>
          <w:spacing w:val="-8"/>
          <w:sz w:val="40"/>
          <w:szCs w:val="40"/>
        </w:rPr>
        <w:t>（试行）》</w:t>
      </w:r>
      <w:r>
        <w:rPr>
          <w:rFonts w:ascii="方正小标宋_GBK" w:eastAsia="方正小标宋_GBK"/>
          <w:spacing w:val="-8"/>
          <w:sz w:val="40"/>
          <w:szCs w:val="40"/>
        </w:rPr>
        <w:t>的通知</w:t>
      </w:r>
    </w:p>
    <w:p>
      <w:pPr>
        <w:pStyle w:val="2"/>
        <w:keepNext w:val="0"/>
        <w:keepLines w:val="0"/>
        <w:pageBreakBefore w:val="0"/>
        <w:widowControl w:val="0"/>
        <w:kinsoku/>
        <w:wordWrap/>
        <w:overflowPunct/>
        <w:topLinePunct w:val="0"/>
        <w:autoSpaceDE/>
        <w:autoSpaceDN/>
        <w:bidi w:val="0"/>
        <w:adjustRightInd/>
        <w:snapToGrid/>
        <w:spacing w:before="0"/>
        <w:ind w:left="748"/>
        <w:jc w:val="center"/>
        <w:textAlignment w:val="auto"/>
        <w:rPr>
          <w:rFonts w:hint="eastAsia" w:ascii="方正小标宋_GBK" w:eastAsia="方正小标宋_GBK"/>
          <w:b w:val="0"/>
          <w:bCs w:val="0"/>
          <w:spacing w:val="-8"/>
          <w:sz w:val="30"/>
          <w:szCs w:val="30"/>
          <w:lang w:eastAsia="zh-CN"/>
        </w:rPr>
      </w:pPr>
    </w:p>
    <w:p>
      <w:pPr>
        <w:pStyle w:val="2"/>
        <w:jc w:val="center"/>
        <w:rPr>
          <w:rFonts w:hint="eastAsia" w:eastAsia="方正小标宋_GBK"/>
          <w:b w:val="0"/>
          <w:bCs w:val="0"/>
          <w:sz w:val="30"/>
          <w:szCs w:val="30"/>
          <w:lang w:eastAsia="zh-CN"/>
        </w:rPr>
      </w:pPr>
      <w:r>
        <w:rPr>
          <w:rFonts w:hint="eastAsia" w:ascii="方正小标宋_GBK" w:eastAsia="方正小标宋_GBK"/>
          <w:b w:val="0"/>
          <w:bCs w:val="0"/>
          <w:spacing w:val="-8"/>
          <w:sz w:val="30"/>
          <w:szCs w:val="30"/>
          <w:lang w:eastAsia="zh-CN"/>
        </w:rPr>
        <w:t>（</w:t>
      </w:r>
      <w:bookmarkStart w:id="0" w:name="doc_mark"/>
      <w:r>
        <w:rPr>
          <w:rFonts w:hint="eastAsia"/>
          <w:b w:val="0"/>
          <w:bCs w:val="0"/>
          <w:sz w:val="30"/>
          <w:szCs w:val="30"/>
        </w:rPr>
        <w:t>川教函〔2022〕709号</w:t>
      </w:r>
      <w:bookmarkEnd w:id="0"/>
      <w:r>
        <w:rPr>
          <w:rFonts w:hint="eastAsia" w:ascii="方正小标宋_GBK" w:eastAsia="方正小标宋_GBK"/>
          <w:b w:val="0"/>
          <w:bCs w:val="0"/>
          <w:spacing w:val="-8"/>
          <w:sz w:val="30"/>
          <w:szCs w:val="30"/>
          <w:lang w:eastAsia="zh-CN"/>
        </w:rPr>
        <w:t>）</w:t>
      </w:r>
    </w:p>
    <w:p>
      <w:pPr>
        <w:spacing w:line="600" w:lineRule="exact"/>
        <w:ind w:firstLine="640" w:firstLineChars="200"/>
      </w:pPr>
    </w:p>
    <w:p>
      <w:pPr>
        <w:spacing w:line="630" w:lineRule="exact"/>
        <w:sectPr>
          <w:footerReference r:id="rId3" w:type="even"/>
          <w:pgSz w:w="11906" w:h="16838"/>
          <w:pgMar w:top="1588" w:right="1474" w:bottom="1304" w:left="1588" w:header="1134" w:footer="1134" w:gutter="0"/>
          <w:cols w:space="425" w:num="1"/>
          <w:docGrid w:linePitch="435" w:charSpace="0"/>
        </w:sectPr>
      </w:pPr>
      <w:r>
        <w:rPr>
          <w:rFonts w:hint="eastAsia"/>
        </w:rPr>
        <w:t>各市（州）教育、文化和旅游、科技、体育、民政、市场监管、住房城乡建设、消防部门：</w:t>
      </w:r>
    </w:p>
    <w:p>
      <w:pPr>
        <w:spacing w:line="630" w:lineRule="exact"/>
        <w:ind w:firstLine="640" w:firstLineChars="200"/>
      </w:pPr>
      <w:r>
        <w:rPr>
          <w:rFonts w:hint="eastAsia"/>
        </w:rPr>
        <w:t>为贯彻落实《中共中央办公厅 国务院办公厅印发〈关于进一步减轻义务教育阶段学生作业负担和校外培训负担的意见〉的通知》精神，根据《四川省人民政府办公厅关于印发四川省规范校外培训机构发展实施方案的通知》和《中共四川省委办公厅 四川省人民政府办公厅印发〈关于进一步减轻义务教育阶段学生作业负担和校外培训负担的实施方案〉的通知》有关规定，教育厅、文化和旅游厅、科技厅、省体育局、民政厅、省市场监管局、住房城乡建设厅、省消防救援总队研究制定了《四川省非学科类校外培训机构管理办法（试行）》《四川省文化艺术类校外培训机构设置标准（试行）》《四川省科技类校外培训机构设置标准（试行）》《四川省体育类校外培训机构设置标准（试行）》，现印发你们，请认真贯彻执行。</w:t>
      </w:r>
    </w:p>
    <w:p>
      <w:pPr>
        <w:spacing w:line="630" w:lineRule="exact"/>
        <w:ind w:firstLine="640" w:firstLineChars="200"/>
      </w:pPr>
      <w:r>
        <w:rPr>
          <w:rFonts w:hint="eastAsia"/>
        </w:rPr>
        <w:t>各地要坚持从严审核审批非学科类校外培训机构，切实规范非学科类培训行为，加强非学科类校外培训管理，努力促进非学科类校外培训成为学校教育的有益补充。</w:t>
      </w:r>
    </w:p>
    <w:p>
      <w:pPr>
        <w:spacing w:line="630" w:lineRule="exact"/>
        <w:ind w:firstLine="640" w:firstLineChars="200"/>
      </w:pPr>
      <w:r>
        <w:rPr>
          <w:rFonts w:hint="eastAsia"/>
        </w:rPr>
        <w:t>各地在执行过程中的意见建议请及时向对口主管部门反馈。</w:t>
      </w:r>
    </w:p>
    <w:p>
      <w:pPr>
        <w:ind w:firstLine="640" w:firstLineChars="200"/>
      </w:pPr>
    </w:p>
    <w:p>
      <w:pPr>
        <w:pStyle w:val="2"/>
        <w:spacing w:before="0" w:line="630" w:lineRule="exact"/>
        <w:ind w:left="0" w:firstLine="640" w:firstLineChars="200"/>
        <w:rPr>
          <w:rFonts w:ascii="Times New Roman" w:hAnsi="Times New Roman" w:eastAsia="仿宋_GB2312" w:cs="Times New Roman"/>
          <w:b w:val="0"/>
          <w:bCs w:val="0"/>
        </w:rPr>
      </w:pPr>
      <w:r>
        <w:rPr>
          <w:rFonts w:hint="eastAsia" w:ascii="Times New Roman" w:hAnsi="Times New Roman" w:eastAsia="仿宋_GB2312" w:cs="Times New Roman"/>
          <w:b w:val="0"/>
          <w:bCs w:val="0"/>
        </w:rPr>
        <w:t>附件：1.四川省非学科类校外培训机构管理办法（试行）</w:t>
      </w:r>
    </w:p>
    <w:p>
      <w:pPr>
        <w:pStyle w:val="2"/>
        <w:spacing w:before="0" w:line="630" w:lineRule="exact"/>
        <w:ind w:left="0" w:firstLine="1635" w:firstLineChars="511"/>
        <w:rPr>
          <w:rFonts w:ascii="Times New Roman" w:hAnsi="Times New Roman" w:eastAsia="仿宋_GB2312" w:cs="Times New Roman"/>
          <w:b w:val="0"/>
          <w:bCs w:val="0"/>
        </w:rPr>
      </w:pPr>
      <w:r>
        <w:rPr>
          <w:rFonts w:hint="eastAsia" w:ascii="Times New Roman" w:hAnsi="Times New Roman" w:eastAsia="仿宋_GB2312" w:cs="Times New Roman"/>
          <w:b w:val="0"/>
          <w:bCs w:val="0"/>
        </w:rPr>
        <w:t>2.四川省文化艺术类校外培训机构设置标准（试行）</w:t>
      </w:r>
    </w:p>
    <w:p>
      <w:pPr>
        <w:pStyle w:val="2"/>
        <w:spacing w:before="0" w:line="630" w:lineRule="exact"/>
        <w:ind w:left="0" w:firstLine="1635" w:firstLineChars="511"/>
        <w:rPr>
          <w:rFonts w:ascii="Times New Roman" w:hAnsi="Times New Roman" w:eastAsia="仿宋_GB2312" w:cs="Times New Roman"/>
          <w:b w:val="0"/>
          <w:bCs w:val="0"/>
        </w:rPr>
      </w:pPr>
      <w:r>
        <w:rPr>
          <w:rFonts w:hint="eastAsia" w:ascii="Times New Roman" w:hAnsi="Times New Roman" w:eastAsia="仿宋_GB2312" w:cs="Times New Roman"/>
          <w:b w:val="0"/>
          <w:bCs w:val="0"/>
        </w:rPr>
        <w:t>3.四川省科技类校外培训机构设置标准（试行）</w:t>
      </w:r>
    </w:p>
    <w:p>
      <w:pPr>
        <w:pStyle w:val="2"/>
        <w:spacing w:before="0" w:line="630" w:lineRule="exact"/>
        <w:ind w:left="0" w:firstLine="1635" w:firstLineChars="511"/>
        <w:rPr>
          <w:rFonts w:ascii="Times New Roman" w:hAnsi="Times New Roman" w:eastAsia="仿宋_GB2312" w:cs="Times New Roman"/>
          <w:b w:val="0"/>
          <w:bCs w:val="0"/>
        </w:rPr>
      </w:pPr>
      <w:r>
        <w:rPr>
          <w:rFonts w:hint="eastAsia" w:ascii="Times New Roman" w:hAnsi="Times New Roman" w:eastAsia="仿宋_GB2312" w:cs="Times New Roman"/>
          <w:b w:val="0"/>
          <w:bCs w:val="0"/>
        </w:rPr>
        <w:t>4.四川省体育类校外培训机构设置标准（试行）</w:t>
      </w:r>
    </w:p>
    <w:p>
      <w:pPr>
        <w:pStyle w:val="2"/>
        <w:spacing w:before="0" w:line="630" w:lineRule="exact"/>
        <w:ind w:left="0" w:firstLine="1635" w:firstLineChars="511"/>
        <w:rPr>
          <w:rFonts w:ascii="Times New Roman" w:hAnsi="Times New Roman" w:eastAsia="仿宋_GB2312" w:cs="Times New Roman"/>
          <w:b w:val="0"/>
          <w:bCs w:val="0"/>
        </w:rPr>
      </w:pPr>
      <w:r>
        <w:rPr>
          <w:rFonts w:hint="eastAsia" w:ascii="Times New Roman" w:hAnsi="Times New Roman" w:eastAsia="仿宋_GB2312" w:cs="Times New Roman"/>
          <w:b w:val="0"/>
          <w:bCs w:val="0"/>
        </w:rPr>
        <w:t>5.四川省非学科类校外培训机构申办流程图</w:t>
      </w:r>
    </w:p>
    <w:p>
      <w:pPr>
        <w:pStyle w:val="2"/>
        <w:spacing w:before="0" w:line="630" w:lineRule="exact"/>
        <w:ind w:left="0" w:firstLine="1635" w:firstLineChars="511"/>
        <w:rPr>
          <w:rFonts w:ascii="Times New Roman" w:hAnsi="Times New Roman" w:eastAsia="仿宋_GB2312" w:cs="Times New Roman"/>
          <w:b w:val="0"/>
          <w:bCs w:val="0"/>
        </w:rPr>
      </w:pPr>
      <w:r>
        <w:rPr>
          <w:rFonts w:hint="eastAsia" w:ascii="Times New Roman" w:hAnsi="Times New Roman" w:eastAsia="仿宋_GB2312" w:cs="Times New Roman"/>
          <w:b w:val="0"/>
          <w:bCs w:val="0"/>
        </w:rPr>
        <w:t>6.四川省非学科类校外培训机构申办材料清单</w:t>
      </w:r>
    </w:p>
    <w:p>
      <w:pPr>
        <w:pStyle w:val="2"/>
        <w:spacing w:before="0" w:line="600" w:lineRule="exact"/>
        <w:ind w:left="0"/>
        <w:rPr>
          <w:rFonts w:ascii="Times New Roman" w:hAnsi="Times New Roman" w:eastAsia="仿宋_GB2312" w:cs="Times New Roman"/>
          <w:b w:val="0"/>
          <w:bCs w:val="0"/>
        </w:rPr>
      </w:pPr>
    </w:p>
    <w:p>
      <w:pPr>
        <w:spacing w:line="600" w:lineRule="exact"/>
      </w:pPr>
    </w:p>
    <w:p>
      <w:pPr>
        <w:spacing w:line="600" w:lineRule="exact"/>
        <w:jc w:val="center"/>
      </w:pPr>
      <w:r>
        <w:rPr>
          <w:rFonts w:hint="eastAsia"/>
        </w:rPr>
        <w:t>四川省教育厅    四川省文化和旅游厅    四川省科技厅</w:t>
      </w:r>
    </w:p>
    <w:p>
      <w:pPr>
        <w:spacing w:line="600" w:lineRule="exact"/>
        <w:ind w:firstLine="640" w:firstLineChars="200"/>
      </w:pPr>
    </w:p>
    <w:p>
      <w:pPr>
        <w:spacing w:line="600" w:lineRule="exact"/>
        <w:jc w:val="center"/>
      </w:pPr>
      <w:r>
        <w:rPr>
          <w:rFonts w:hint="eastAsia"/>
        </w:rPr>
        <w:t>四川省体育局   四川省民政厅   四川省市场监督管理局</w:t>
      </w:r>
    </w:p>
    <w:p>
      <w:pPr>
        <w:pStyle w:val="2"/>
        <w:spacing w:before="0" w:line="600" w:lineRule="exact"/>
        <w:ind w:left="0" w:firstLine="640" w:firstLineChars="200"/>
        <w:rPr>
          <w:rFonts w:ascii="Times New Roman" w:hAnsi="Times New Roman" w:eastAsia="仿宋_GB2312" w:cs="Times New Roman"/>
          <w:b w:val="0"/>
        </w:rPr>
      </w:pPr>
    </w:p>
    <w:p>
      <w:pPr>
        <w:spacing w:line="600" w:lineRule="exact"/>
        <w:jc w:val="center"/>
      </w:pPr>
      <w:r>
        <w:rPr>
          <w:rFonts w:hint="eastAsia"/>
        </w:rPr>
        <w:t xml:space="preserve">四川省住房和城乡建设厅  </w:t>
      </w:r>
      <w:r>
        <w:rPr>
          <w:rFonts w:hint="eastAsia"/>
          <w:lang w:val="en-US" w:eastAsia="zh-CN"/>
        </w:rPr>
        <w:t xml:space="preserve"> </w:t>
      </w:r>
      <w:r>
        <w:rPr>
          <w:rFonts w:hint="eastAsia"/>
        </w:rPr>
        <w:t xml:space="preserve"> 四川省消防救援总队</w:t>
      </w:r>
    </w:p>
    <w:p>
      <w:pPr>
        <w:spacing w:line="600" w:lineRule="exact"/>
        <w:ind w:right="906" w:rightChars="283"/>
        <w:jc w:val="right"/>
      </w:pPr>
      <w:r>
        <w:rPr>
          <w:rFonts w:hint="eastAsia"/>
        </w:rPr>
        <w:t>2022年12月29日</w:t>
      </w:r>
    </w:p>
    <w:p>
      <w:r>
        <w:br w:type="page"/>
      </w:r>
    </w:p>
    <w:p>
      <w:pPr>
        <w:spacing w:line="600" w:lineRule="exact"/>
        <w:rPr>
          <w:rFonts w:eastAsia="黑体"/>
        </w:rPr>
      </w:pPr>
      <w:r>
        <w:rPr>
          <w:rFonts w:eastAsia="黑体"/>
        </w:rPr>
        <w:t>附件</w:t>
      </w:r>
      <w:r>
        <w:rPr>
          <w:rFonts w:hint="eastAsia" w:eastAsia="黑体"/>
        </w:rPr>
        <w:t>1</w:t>
      </w:r>
    </w:p>
    <w:p>
      <w:pPr>
        <w:snapToGrid w:val="0"/>
        <w:textAlignment w:val="baseline"/>
      </w:pPr>
    </w:p>
    <w:p>
      <w:pPr>
        <w:spacing w:line="800" w:lineRule="exact"/>
        <w:jc w:val="center"/>
        <w:rPr>
          <w:rFonts w:ascii="方正小标宋_GBK" w:eastAsia="方正小标宋_GBK"/>
          <w:sz w:val="44"/>
          <w:szCs w:val="44"/>
        </w:rPr>
      </w:pPr>
      <w:r>
        <w:rPr>
          <w:rFonts w:ascii="方正小标宋_GBK" w:eastAsia="方正小标宋_GBK"/>
          <w:sz w:val="44"/>
          <w:szCs w:val="44"/>
        </w:rPr>
        <w:t>四川省非学科类校外培训机构</w:t>
      </w:r>
    </w:p>
    <w:p>
      <w:pPr>
        <w:spacing w:line="800" w:lineRule="exact"/>
        <w:jc w:val="center"/>
        <w:rPr>
          <w:rFonts w:ascii="方正小标宋_GBK" w:hAnsi="楷体_GB2312" w:eastAsia="方正小标宋_GBK" w:cs="楷体_GB2312"/>
          <w:sz w:val="44"/>
        </w:rPr>
      </w:pPr>
      <w:r>
        <w:rPr>
          <w:rFonts w:ascii="方正小标宋_GBK" w:eastAsia="方正小标宋_GBK"/>
          <w:sz w:val="44"/>
          <w:szCs w:val="44"/>
        </w:rPr>
        <w:t>管理办法（试行）</w:t>
      </w:r>
    </w:p>
    <w:p>
      <w:pPr>
        <w:snapToGrid w:val="0"/>
        <w:spacing w:line="570" w:lineRule="exact"/>
        <w:textAlignment w:val="baseline"/>
        <w:rPr>
          <w:rFonts w:ascii="楷体_GB2312" w:hAnsi="楷体_GB2312" w:eastAsia="楷体_GB2312" w:cs="楷体_GB2312"/>
        </w:rPr>
      </w:pPr>
    </w:p>
    <w:p>
      <w:pPr>
        <w:spacing w:line="600" w:lineRule="exact"/>
        <w:jc w:val="center"/>
        <w:rPr>
          <w:rFonts w:ascii="黑体" w:hAnsi="黑体" w:eastAsia="黑体"/>
        </w:rPr>
      </w:pPr>
      <w:r>
        <w:rPr>
          <w:rFonts w:hint="eastAsia" w:ascii="黑体" w:hAnsi="黑体" w:eastAsia="黑体"/>
        </w:rPr>
        <w:t>第一章  总  则</w:t>
      </w:r>
    </w:p>
    <w:p>
      <w:pPr>
        <w:spacing w:line="600" w:lineRule="exact"/>
        <w:ind w:firstLine="640" w:firstLineChars="200"/>
      </w:pPr>
      <w:r>
        <w:rPr>
          <w:rFonts w:hint="eastAsia" w:ascii="黑体" w:hAnsi="黑体" w:eastAsia="黑体"/>
        </w:rPr>
        <w:t>第一条</w:t>
      </w:r>
      <w:r>
        <w:rPr>
          <w:rFonts w:hint="eastAsia"/>
        </w:rPr>
        <w:t xml:space="preserve">  为贯彻落实《中共中央办公厅 国务院办公厅印发〈关于进一步减轻义务教育阶段学生作业负担和校外培训负担的意见〉的通知》《中共四川省委办公厅 四川省人民政府办公厅印发〈关于进一步减轻义务教育阶段学生作业负担和校外培训负担的实施方案〉的通知》等文件精神，深化非学科类校外培训机构治理，规范非学科类校外培训机构审批设置和培训行为，依据《中华人民共和国民办教育促进法》《中华人民共和国民办教育促进法实施条例》《中华人民共和国公司法》《中华人民共和国市场主体登记管理条例》《民办非企业单位登记管理暂行条例》等法律法规，结合实际，制定本办法。</w:t>
      </w:r>
    </w:p>
    <w:p>
      <w:pPr>
        <w:spacing w:line="600" w:lineRule="exact"/>
        <w:ind w:firstLine="640" w:firstLineChars="200"/>
      </w:pPr>
      <w:r>
        <w:rPr>
          <w:rFonts w:hint="eastAsia" w:ascii="黑体" w:hAnsi="黑体" w:eastAsia="黑体"/>
        </w:rPr>
        <w:t>第二条</w:t>
      </w:r>
      <w:r>
        <w:rPr>
          <w:rFonts w:hint="eastAsia"/>
        </w:rPr>
        <w:t xml:space="preserve">  本办法所称非学科类校外培训机构（以下简称“培训机构”）是指在本省行政区域内，利用非国家财政性经费举办，经各行政管理部门审核同意、依法取得办学许可后进行注册登记，面向中小学校（园）学生开展文化艺术类、科技类、体育类等校外培训的非学历教育机构。本办法所称中小学校（园）包括公办和民办幼儿园、义务教育阶段学校、普通高中学校。</w:t>
      </w:r>
    </w:p>
    <w:p>
      <w:pPr>
        <w:spacing w:line="600" w:lineRule="exact"/>
        <w:ind w:firstLine="640" w:firstLineChars="200"/>
      </w:pPr>
      <w:r>
        <w:rPr>
          <w:rFonts w:hint="eastAsia"/>
        </w:rPr>
        <w:t>本办法所称中小学校（园）学生包括3—6岁学龄前儿童、义务教育阶段学生、高中阶段学生。</w:t>
      </w:r>
    </w:p>
    <w:p>
      <w:pPr>
        <w:spacing w:line="600" w:lineRule="exact"/>
        <w:ind w:firstLine="640" w:firstLineChars="200"/>
      </w:pPr>
      <w:r>
        <w:rPr>
          <w:rFonts w:hint="eastAsia" w:ascii="黑体" w:hAnsi="黑体" w:eastAsia="黑体"/>
        </w:rPr>
        <w:t>第三条</w:t>
      </w:r>
      <w:r>
        <w:rPr>
          <w:rFonts w:hint="eastAsia"/>
        </w:rPr>
        <w:t xml:space="preserve">  培训机构设置应当适应本地经济和社会发展需要，符合教育、文化、科技、体育事业发展和人民群众需求，贯彻党的教育方针，遵守国家法律法规，遵循教育教学规律和中小学生身心发展规律，坚持社会主义办学方向，坚持立德树人，坚持教育公益属性，坚守安全底线，切实保障师生身心健康。</w:t>
      </w:r>
    </w:p>
    <w:p>
      <w:pPr>
        <w:spacing w:line="600" w:lineRule="exact"/>
        <w:ind w:firstLine="640" w:firstLineChars="200"/>
      </w:pPr>
      <w:r>
        <w:rPr>
          <w:rFonts w:hint="eastAsia" w:ascii="黑体" w:hAnsi="黑体" w:eastAsia="黑体"/>
        </w:rPr>
        <w:t>第四条</w:t>
      </w:r>
      <w:r>
        <w:rPr>
          <w:rFonts w:hint="eastAsia"/>
        </w:rPr>
        <w:t xml:space="preserve">  文化和旅游部门、科技部门、体育部门分别为文化艺术类、科技类、体育类培训机构的主管部门，应发挥专业优势，按照“谁主管、谁审批、谁负责”的原则，全面履行培训机构的审核审批和日常监管、平台监管及违法违规行为查处等职责。</w:t>
      </w:r>
    </w:p>
    <w:p>
      <w:pPr>
        <w:spacing w:line="600" w:lineRule="exact"/>
        <w:ind w:firstLine="640" w:firstLineChars="200"/>
      </w:pPr>
      <w:r>
        <w:rPr>
          <w:rFonts w:hint="eastAsia" w:ascii="黑体" w:hAnsi="黑体" w:eastAsia="黑体"/>
        </w:rPr>
        <w:t>第五条</w:t>
      </w:r>
      <w:r>
        <w:rPr>
          <w:rFonts w:hint="eastAsia"/>
        </w:rPr>
        <w:t xml:space="preserve">  培训机构必须坚持和加强党的领导，做到党的建设同步谋划、党的组织同步设置、党的工作同步开展，将党的建设有关内容写入章程，并在年度报告中专项报告党建工作情况。</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第二章  举办者条件</w:t>
      </w:r>
    </w:p>
    <w:p>
      <w:pPr>
        <w:shd w:val="clear" w:color="auto" w:fill="FFFFFF"/>
        <w:spacing w:line="600" w:lineRule="exact"/>
        <w:ind w:firstLine="640" w:firstLineChars="200"/>
        <w:rPr>
          <w:bCs/>
        </w:rPr>
      </w:pPr>
      <w:r>
        <w:rPr>
          <w:rFonts w:hint="eastAsia" w:eastAsia="黑体"/>
        </w:rPr>
        <w:t>第六条</w:t>
      </w:r>
      <w:r>
        <w:rPr>
          <w:rFonts w:hint="eastAsia"/>
        </w:rPr>
        <w:t xml:space="preserve"> </w:t>
      </w:r>
      <w:r>
        <w:rPr>
          <w:rFonts w:hint="eastAsia"/>
          <w:bCs/>
        </w:rPr>
        <w:t xml:space="preserve"> 举办者应是国家机构以外的社会组织、企业或者自然人，并符合下列条件：</w:t>
      </w:r>
    </w:p>
    <w:p>
      <w:pPr>
        <w:shd w:val="clear" w:color="auto" w:fill="FFFFFF"/>
        <w:spacing w:line="600" w:lineRule="exact"/>
        <w:ind w:firstLine="640" w:firstLineChars="200"/>
        <w:rPr>
          <w:bCs/>
        </w:rPr>
      </w:pPr>
      <w:r>
        <w:rPr>
          <w:rFonts w:hint="eastAsia"/>
          <w:bCs/>
        </w:rPr>
        <w:t>（一）举办者是社会组织、企业，应当具备的条件：具有中华人民共和国法人资格，信用状况良好，无不良记录，未被列入企业经营异常名录或严重违法失信名单。其法定代表人应具有中华人民共和国国籍，在中国境内定居，信用状况良好，无犯罪记录和不良从业记录，有政治权利和完全民事行为能力。</w:t>
      </w:r>
    </w:p>
    <w:p>
      <w:pPr>
        <w:spacing w:line="600" w:lineRule="exact"/>
        <w:ind w:firstLine="640" w:firstLineChars="200"/>
      </w:pPr>
      <w:r>
        <w:rPr>
          <w:rFonts w:hint="eastAsia"/>
        </w:rPr>
        <w:t>培训机构法定代表人在机构存续期间存在违法行为受到刑事处罚的，不得再担任法定代表人，培训机构应及时依法变更法定代表人。在完成法定代表人变更前，暂停开展培训活动。</w:t>
      </w:r>
    </w:p>
    <w:p>
      <w:pPr>
        <w:shd w:val="clear" w:color="auto" w:fill="FFFFFF"/>
        <w:spacing w:line="600" w:lineRule="exact"/>
        <w:ind w:firstLine="640" w:firstLineChars="200"/>
        <w:rPr>
          <w:bCs/>
        </w:rPr>
      </w:pPr>
      <w:r>
        <w:rPr>
          <w:rFonts w:hint="eastAsia"/>
          <w:bCs/>
        </w:rPr>
        <w:t>（二）举办者是自然人，应当具备的条件：具有中华人民共和国国籍，在中国境内定居，信用状况良好，无犯罪记录和不良从业记录，有政治权利和完全民事行为能力。</w:t>
      </w:r>
    </w:p>
    <w:p>
      <w:pPr>
        <w:shd w:val="clear" w:color="auto" w:fill="FFFFFF"/>
        <w:spacing w:line="600" w:lineRule="exact"/>
        <w:ind w:firstLine="640" w:firstLineChars="200"/>
      </w:pPr>
      <w:r>
        <w:rPr>
          <w:rFonts w:hint="eastAsia"/>
          <w:bCs/>
        </w:rPr>
        <w:t>（三）有两个以上举办者联合办学的，应当签订联合办学协议，明确合作方式、办学宗旨、培养目标以及各自权利义务和争议解决方式等内容。联合举办者出资计入培训机构注册资金或者开办资金的，应当明确各自的出资数额、方式以及相应比例。</w:t>
      </w:r>
    </w:p>
    <w:p>
      <w:pPr>
        <w:shd w:val="clear" w:color="auto" w:fill="FFFFFF"/>
        <w:spacing w:line="600" w:lineRule="exact"/>
        <w:ind w:firstLine="640" w:firstLineChars="200"/>
        <w:rPr>
          <w:bCs/>
        </w:rPr>
      </w:pPr>
      <w:r>
        <w:rPr>
          <w:rFonts w:hint="eastAsia" w:eastAsia="黑体"/>
        </w:rPr>
        <w:t>第七条</w:t>
      </w:r>
      <w:r>
        <w:rPr>
          <w:rFonts w:hint="eastAsia"/>
          <w:bCs/>
        </w:rPr>
        <w:t xml:space="preserve">  中小学校（园）及其在职教职工不得举办或参与举办培训机构。境外投资企业以及境外方为实际控制人的社会组织举办培训机构的，应符合国家有关法律、法规和规章规定。</w:t>
      </w:r>
    </w:p>
    <w:p>
      <w:pPr>
        <w:shd w:val="clear" w:color="auto" w:fill="FFFFFF"/>
        <w:spacing w:line="600" w:lineRule="exact"/>
        <w:ind w:firstLine="640" w:firstLineChars="200"/>
        <w:rPr>
          <w:bCs/>
        </w:rPr>
      </w:pPr>
      <w:r>
        <w:rPr>
          <w:rFonts w:hint="eastAsia" w:eastAsia="黑体"/>
        </w:rPr>
        <w:t>第八条</w:t>
      </w:r>
      <w:r>
        <w:rPr>
          <w:rFonts w:hint="eastAsia"/>
          <w:bCs/>
        </w:rPr>
        <w:t xml:space="preserve">  举办者应自主选择设立非营利性或营利性培训机构。</w:t>
      </w:r>
    </w:p>
    <w:p>
      <w:pPr>
        <w:pStyle w:val="2"/>
        <w:spacing w:before="0" w:line="600" w:lineRule="exact"/>
        <w:ind w:left="0" w:firstLine="640" w:firstLineChars="200"/>
        <w:rPr>
          <w:rFonts w:ascii="Times New Roman" w:hAnsi="Times New Roman" w:eastAsia="仿宋_GB2312" w:cs="Times New Roman"/>
          <w:b w:val="0"/>
        </w:rPr>
      </w:pPr>
    </w:p>
    <w:p>
      <w:pPr>
        <w:spacing w:line="600" w:lineRule="exact"/>
        <w:jc w:val="center"/>
        <w:rPr>
          <w:rFonts w:ascii="黑体" w:hAnsi="黑体" w:eastAsia="黑体"/>
        </w:rPr>
      </w:pPr>
      <w:r>
        <w:rPr>
          <w:rFonts w:hint="eastAsia" w:ascii="黑体" w:hAnsi="黑体" w:eastAsia="黑体"/>
        </w:rPr>
        <w:t>第三章  办学条件</w:t>
      </w:r>
    </w:p>
    <w:p>
      <w:pPr>
        <w:spacing w:line="600" w:lineRule="exact"/>
        <w:ind w:firstLine="640" w:firstLineChars="200"/>
      </w:pPr>
      <w:r>
        <w:rPr>
          <w:rFonts w:hint="eastAsia" w:eastAsia="黑体"/>
        </w:rPr>
        <w:t>第九条</w:t>
      </w:r>
      <w:r>
        <w:rPr>
          <w:rFonts w:hint="eastAsia"/>
        </w:rPr>
        <w:t xml:space="preserve">  设立培训机构，应具有与培训类型、层次、规模相适应的资金投入和经费来源，开办资金（注册资本）应符合相关法律法规要求。举办者应履行出资义务，明确办学投入来源、资产资金数额及有效证明材料，并载明产权。举办者可以用货币或实物出资，也可用符合法律法规及相关规定的非货币财产出资。登记为民办非企业单位的，应以货币出资。所有办学资产，应及时过户到培训机构名下，落实法人财产权。校外培训机构正式设立时，开办资金（注册资本）应当足额存入培训机构监管账户。</w:t>
      </w:r>
    </w:p>
    <w:p>
      <w:pPr>
        <w:spacing w:line="600" w:lineRule="exact"/>
        <w:ind w:firstLine="640" w:firstLineChars="200"/>
      </w:pPr>
      <w:r>
        <w:rPr>
          <w:rFonts w:hint="eastAsia" w:eastAsia="黑体"/>
        </w:rPr>
        <w:t>第十条</w:t>
      </w:r>
      <w:r>
        <w:rPr>
          <w:rFonts w:hint="eastAsia"/>
        </w:rPr>
        <w:t xml:space="preserve"> 培训机构应具有与培训类型、层次、规模等相适应的固定场所（含办公用房、教学培训用房和其他必备场地）。同一培训时段内生均面积不低于3平方米。场地需求较大的培训项目，应适当提高生均面积标准，预留安全距离，确保不拥挤、易疏散。用于3—6岁学龄前儿童培训的场所不得超过建筑物3层，用于小学生培训的场所不得超过建筑物4层，用于中学生培训的场所不得超过建筑物5层。不得选用居民住宅、半地下室、地下室、违章建筑及其他存在安全隐患的场所。不得在中小学校（园）内举办培训机构。</w:t>
      </w:r>
    </w:p>
    <w:p>
      <w:pPr>
        <w:spacing w:line="600" w:lineRule="exact"/>
        <w:ind w:firstLine="640" w:firstLineChars="200"/>
      </w:pPr>
      <w:r>
        <w:rPr>
          <w:rFonts w:hint="eastAsia" w:eastAsia="黑体"/>
        </w:rPr>
        <w:t>第十一条</w:t>
      </w:r>
      <w:r>
        <w:rPr>
          <w:rFonts w:hint="eastAsia"/>
        </w:rPr>
        <w:t xml:space="preserve">  培训机构办学场所必须独立使用，符合相关部门建设规划，符合国家和省关于中小学消防、环保、卫生、房屋安全等管理规定，符合《中小学、幼儿园安全防范要求》标准，符合采光、照明等标准，符合疫情防控要求。培训机构不得擅自变更建筑用途和使用功能、改变承重结构。培训机构不得提供住宿服务。提供餐饮服务的，应取得相应经营资质，并符合餐饮服务食品安全管理规定。</w:t>
      </w:r>
    </w:p>
    <w:p>
      <w:pPr>
        <w:spacing w:line="600" w:lineRule="exact"/>
        <w:ind w:firstLine="640" w:firstLineChars="200"/>
      </w:pPr>
      <w:r>
        <w:rPr>
          <w:rFonts w:hint="eastAsia" w:eastAsia="黑体"/>
        </w:rPr>
        <w:t>第十二条</w:t>
      </w:r>
      <w:r>
        <w:rPr>
          <w:rFonts w:hint="eastAsia"/>
        </w:rPr>
        <w:t xml:space="preserve">  培训机构应具有与培训类别、培训层次、培训项目和培训规模相适应的、符合国家标准的设施设备、器材等。各专业教学用房及设施设备应达到《中小学校设计规范》要求。对于存在噪音危害的设施设备，应采取有效的措施隔音降噪。</w:t>
      </w:r>
    </w:p>
    <w:p>
      <w:pPr>
        <w:spacing w:line="600" w:lineRule="exact"/>
        <w:ind w:firstLine="640" w:firstLineChars="200"/>
        <w:rPr>
          <w:shd w:val="clear" w:color="auto" w:fill="FFFFFF"/>
        </w:rPr>
      </w:pPr>
      <w:r>
        <w:rPr>
          <w:rFonts w:hint="eastAsia" w:eastAsia="黑体"/>
        </w:rPr>
        <w:t>第十三条</w:t>
      </w:r>
      <w:r>
        <w:rPr>
          <w:rFonts w:hint="eastAsia"/>
        </w:rPr>
        <w:t xml:space="preserve">  实行“一点一证”制度，</w:t>
      </w:r>
      <w:r>
        <w:rPr>
          <w:rFonts w:hint="eastAsia"/>
          <w:shd w:val="clear" w:color="auto" w:fill="FFFFFF"/>
        </w:rPr>
        <w:t>一个固定且独立使用的场所只能申办设立一个培训机构，</w:t>
      </w:r>
      <w:r>
        <w:rPr>
          <w:rFonts w:hint="eastAsia"/>
        </w:rPr>
        <w:t>办理一个办学许可证</w:t>
      </w:r>
      <w:r>
        <w:rPr>
          <w:rFonts w:hint="eastAsia"/>
          <w:shd w:val="clear" w:color="auto" w:fill="FFFFFF"/>
        </w:rPr>
        <w:t>。未经审批机关批准，</w:t>
      </w:r>
      <w:r>
        <w:rPr>
          <w:rFonts w:hint="eastAsia"/>
        </w:rPr>
        <w:t>培训机构</w:t>
      </w:r>
      <w:r>
        <w:rPr>
          <w:rFonts w:hint="eastAsia"/>
          <w:shd w:val="clear" w:color="auto" w:fill="FFFFFF"/>
        </w:rPr>
        <w:t>不得擅自变更培训地址、增设分支机构（含培训点，下同）。</w:t>
      </w:r>
      <w:r>
        <w:rPr>
          <w:rFonts w:hint="eastAsia"/>
        </w:rPr>
        <w:t>非营利性培训机构不得设立分支机构。营利性培训机构</w:t>
      </w:r>
      <w:r>
        <w:rPr>
          <w:rFonts w:hint="eastAsia"/>
          <w:shd w:val="clear" w:color="auto" w:fill="FFFFFF"/>
        </w:rPr>
        <w:t>增设分支机构的，应当向拟设分支机构所在地审批机关单独申请，并报原审批机关备案。</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第四章  从业人员</w:t>
      </w:r>
    </w:p>
    <w:p>
      <w:pPr>
        <w:spacing w:line="600" w:lineRule="exact"/>
        <w:ind w:firstLine="640" w:firstLineChars="200"/>
      </w:pPr>
      <w:r>
        <w:rPr>
          <w:rFonts w:hint="eastAsia" w:eastAsia="黑体"/>
        </w:rPr>
        <w:t>第十四条</w:t>
      </w:r>
      <w:r>
        <w:rPr>
          <w:rFonts w:hint="eastAsia"/>
        </w:rPr>
        <w:t xml:space="preserve">  培训机构应按照《校外培训机构从业人员管理办法（试行）》要求招录从业人员并进行管理。招用的从业人员应遵守宪法和法律，热爱教育事业，具有良好的思想品德和职业道德，具备相应从业能力，身心健康，并符合下列条件之一：</w:t>
      </w:r>
    </w:p>
    <w:p>
      <w:pPr>
        <w:spacing w:line="600" w:lineRule="exact"/>
        <w:ind w:firstLine="640" w:firstLineChars="200"/>
      </w:pPr>
      <w:r>
        <w:rPr>
          <w:rFonts w:hint="eastAsia"/>
        </w:rPr>
        <w:t>（一）教学教研人员原则上应具有大学专科及以上学历，持有政府部门颁发或认可的与教学内容相对应的《教师资格证》或相应的职业（专业）能力证明。</w:t>
      </w:r>
    </w:p>
    <w:p>
      <w:pPr>
        <w:spacing w:line="600" w:lineRule="exact"/>
        <w:ind w:firstLine="640" w:firstLineChars="200"/>
      </w:pPr>
      <w:r>
        <w:rPr>
          <w:rFonts w:hint="eastAsia"/>
        </w:rPr>
        <w:t>（二）教学管理人员应具有大学专科及以上学历，有1年以上教学工作经历。</w:t>
      </w:r>
    </w:p>
    <w:p>
      <w:pPr>
        <w:spacing w:line="600" w:lineRule="exact"/>
        <w:ind w:firstLine="640" w:firstLineChars="200"/>
      </w:pPr>
      <w:r>
        <w:rPr>
          <w:rFonts w:hint="eastAsia"/>
        </w:rPr>
        <w:t>（三）其他从业人员应具有相应的职业资质和从业经历。</w:t>
      </w:r>
    </w:p>
    <w:p>
      <w:pPr>
        <w:spacing w:line="600" w:lineRule="exact"/>
        <w:ind w:firstLine="640" w:firstLineChars="200"/>
      </w:pPr>
      <w:r>
        <w:rPr>
          <w:rFonts w:hint="eastAsia" w:eastAsia="黑体"/>
        </w:rPr>
        <w:t>第十五条</w:t>
      </w:r>
      <w:r>
        <w:rPr>
          <w:rFonts w:hint="eastAsia"/>
        </w:rPr>
        <w:t xml:space="preserve">  培训机构应根据所开设培训项目及规模配齐具有相应任职资格和任职条件的专兼职从业人员。其中专职教学、教研人员原则上不低于机构从业人员总数的50%，专职教学人员不得少于3人，每班次应配备至少1名专职教学人员。</w:t>
      </w:r>
    </w:p>
    <w:p>
      <w:pPr>
        <w:spacing w:line="600" w:lineRule="exact"/>
        <w:ind w:firstLine="640" w:firstLineChars="200"/>
      </w:pPr>
      <w:r>
        <w:rPr>
          <w:rFonts w:hint="eastAsia" w:eastAsia="黑体"/>
        </w:rPr>
        <w:t>第十六条</w:t>
      </w:r>
      <w:r>
        <w:rPr>
          <w:rFonts w:hint="eastAsia"/>
        </w:rPr>
        <w:t xml:space="preserve">  培训机构应配备掌握治安、消防等知识和相关法律法规、熟练使用通信、治安和消防设施器材的安保值班人员至少1名，履行安全管理职责，落实安全防范措施。</w:t>
      </w:r>
    </w:p>
    <w:p>
      <w:pPr>
        <w:spacing w:line="600" w:lineRule="exact"/>
        <w:ind w:firstLine="640" w:firstLineChars="200"/>
      </w:pPr>
      <w:r>
        <w:rPr>
          <w:rFonts w:hint="eastAsia" w:eastAsia="黑体"/>
        </w:rPr>
        <w:t>第十七条</w:t>
      </w:r>
      <w:r>
        <w:rPr>
          <w:rFonts w:hint="eastAsia"/>
        </w:rPr>
        <w:t xml:space="preserve">  培训机构不得聘请在境外的外籍人员开展培训活动，聘请在境内的外籍教学人员应当符合国家有关规定。</w:t>
      </w:r>
    </w:p>
    <w:p>
      <w:pPr>
        <w:pStyle w:val="5"/>
        <w:spacing w:line="600" w:lineRule="exact"/>
        <w:ind w:firstLine="640"/>
        <w:rPr>
          <w:rFonts w:hint="default" w:ascii="Times New Roman" w:hAnsi="Times New Roman" w:eastAsia="仿宋_GB2312"/>
        </w:rPr>
      </w:pPr>
      <w:r>
        <w:rPr>
          <w:rFonts w:ascii="Times New Roman" w:hAnsi="Times New Roman" w:eastAsia="黑体"/>
        </w:rPr>
        <w:t>第十八条</w:t>
      </w:r>
      <w:r>
        <w:rPr>
          <w:rFonts w:ascii="Times New Roman" w:hAnsi="Times New Roman" w:eastAsia="仿宋_GB2312"/>
        </w:rPr>
        <w:t xml:space="preserve">  培训机构应与招用的从业人员依法签订劳动合同（或劳务协议）、按要求缴纳社会保险，保障其工资、福利待遇和其他合法权益。对初次招用人员，应开展上岗培训并取得合格证明。</w:t>
      </w:r>
    </w:p>
    <w:p>
      <w:pPr>
        <w:spacing w:line="600" w:lineRule="exact"/>
        <w:ind w:firstLine="640" w:firstLineChars="200"/>
      </w:pPr>
      <w:r>
        <w:rPr>
          <w:rFonts w:hint="eastAsia" w:eastAsia="黑体"/>
        </w:rPr>
        <w:t>第十九条</w:t>
      </w:r>
      <w:r>
        <w:rPr>
          <w:rFonts w:hint="eastAsia"/>
        </w:rPr>
        <w:t xml:space="preserve">  培训机构不得招用中小学在职教师及相关考试招生机构（院校）、相关竞赛组织机构、相关考试（竞赛）命题人员从事招生、教学、管理等培训活动。培训机构应对拟招用人员和劳务派遣单位拟派遣至机构培训场所工作的人员进行性侵等违法犯罪信息查询。</w:t>
      </w:r>
    </w:p>
    <w:p>
      <w:pPr>
        <w:spacing w:line="600" w:lineRule="exact"/>
        <w:ind w:firstLine="640" w:firstLineChars="200"/>
        <w:rPr>
          <w:shd w:val="clear" w:color="auto" w:fill="FFFFFF"/>
        </w:rPr>
      </w:pPr>
      <w:r>
        <w:rPr>
          <w:rFonts w:hint="eastAsia" w:eastAsia="黑体"/>
        </w:rPr>
        <w:t>第二十条</w:t>
      </w:r>
      <w:r>
        <w:rPr>
          <w:rFonts w:hint="eastAsia"/>
        </w:rPr>
        <w:t xml:space="preserve">  </w:t>
      </w:r>
      <w:r>
        <w:rPr>
          <w:rFonts w:hint="eastAsia"/>
          <w:shd w:val="clear" w:color="auto" w:fill="FFFFFF"/>
        </w:rPr>
        <w:t>培训机构应将教学人员的基本</w:t>
      </w:r>
      <w:r>
        <w:rPr>
          <w:rFonts w:hint="eastAsia"/>
        </w:rPr>
        <w:t>信息（姓名、照片等）</w:t>
      </w:r>
      <w:r>
        <w:rPr>
          <w:rFonts w:hint="eastAsia"/>
          <w:shd w:val="clear" w:color="auto" w:fill="FFFFFF"/>
        </w:rPr>
        <w:t>、教师资格、从教经历、任教课程、课程收费等信息在机构培训场所、官方网站显著位置公示。其他从业人员信息应在机构内部进行公示。</w:t>
      </w:r>
    </w:p>
    <w:p>
      <w:pPr>
        <w:pStyle w:val="2"/>
      </w:pPr>
    </w:p>
    <w:p>
      <w:pPr>
        <w:spacing w:line="600" w:lineRule="exact"/>
        <w:jc w:val="center"/>
        <w:rPr>
          <w:rFonts w:ascii="黑体" w:hAnsi="黑体" w:eastAsia="黑体"/>
        </w:rPr>
      </w:pPr>
      <w:r>
        <w:rPr>
          <w:rFonts w:hint="eastAsia" w:ascii="黑体" w:hAnsi="黑体" w:eastAsia="黑体"/>
        </w:rPr>
        <w:t>第五章  组织机构</w:t>
      </w:r>
    </w:p>
    <w:p>
      <w:pPr>
        <w:pStyle w:val="9"/>
        <w:shd w:val="clear" w:color="auto" w:fill="FFFFFF"/>
        <w:spacing w:line="60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第二十一条</w:t>
      </w:r>
      <w:r>
        <w:rPr>
          <w:rFonts w:hint="eastAsia" w:ascii="Times New Roman" w:hAnsi="Times New Roman" w:eastAsia="仿宋_GB2312"/>
          <w:sz w:val="32"/>
          <w:szCs w:val="32"/>
        </w:rPr>
        <w:t xml:space="preserve">  培训机构的组织形式应为公司或民办非企业单位。</w:t>
      </w:r>
    </w:p>
    <w:p>
      <w:pPr>
        <w:spacing w:line="600" w:lineRule="exact"/>
        <w:ind w:firstLine="640" w:firstLineChars="200"/>
      </w:pPr>
      <w:r>
        <w:rPr>
          <w:rFonts w:hint="eastAsia" w:eastAsia="黑体"/>
        </w:rPr>
        <w:t>第二十二条</w:t>
      </w:r>
      <w:r>
        <w:rPr>
          <w:rFonts w:hint="eastAsia"/>
        </w:rPr>
        <w:t xml:space="preserve">  </w:t>
      </w:r>
      <w:r>
        <w:rPr>
          <w:rFonts w:hint="eastAsia"/>
          <w:lang w:bidi="ar"/>
        </w:rPr>
        <w:t>培训机构只能使用一个名称。名称应当符合相关的法律法规及政策规定，载明“培训”字样。名称中不得含有可能对公众造成误解或引发歧义的内容和文字，不得违背公序良俗，不得损害国家和社会公共利益。</w:t>
      </w:r>
    </w:p>
    <w:p>
      <w:pPr>
        <w:spacing w:line="600" w:lineRule="exact"/>
        <w:ind w:firstLine="640" w:firstLineChars="200"/>
      </w:pPr>
      <w:r>
        <w:rPr>
          <w:rFonts w:hint="eastAsia" w:eastAsia="黑体"/>
        </w:rPr>
        <w:t>第二十三条</w:t>
      </w:r>
      <w:r>
        <w:rPr>
          <w:rFonts w:hint="eastAsia"/>
        </w:rPr>
        <w:t xml:space="preserve">  培训机构应依法依规制定机构章程。章程应符合相关的法律法规及政策规定。培训机构的法定代表人由理事长、董事长或行政主要负责人担任，应在章程中予以明确。</w:t>
      </w:r>
    </w:p>
    <w:p>
      <w:pPr>
        <w:spacing w:line="600" w:lineRule="exact"/>
        <w:ind w:firstLine="640" w:firstLineChars="200"/>
      </w:pPr>
      <w:r>
        <w:rPr>
          <w:rFonts w:hint="eastAsia" w:eastAsia="黑体"/>
        </w:rPr>
        <w:t>第二十四条</w:t>
      </w:r>
      <w:r>
        <w:rPr>
          <w:rFonts w:hint="eastAsia"/>
        </w:rPr>
        <w:t xml:space="preserve">  培训机构应当设立由举办者或其代表、行政主要负责人、党组织负责人和教职工代表等组成的理事会、董事会或其他形式的决策机构。应依法设立监事会等监督机构，从业人员少于20人的，可只设1至2名监事。</w:t>
      </w:r>
    </w:p>
    <w:p>
      <w:pPr>
        <w:spacing w:line="600" w:lineRule="exact"/>
        <w:ind w:firstLine="640" w:firstLineChars="200"/>
      </w:pPr>
      <w:r>
        <w:rPr>
          <w:rFonts w:hint="eastAsia" w:eastAsia="黑体"/>
        </w:rPr>
        <w:t>第二十五条</w:t>
      </w:r>
      <w:r>
        <w:rPr>
          <w:rFonts w:hint="eastAsia"/>
        </w:rPr>
        <w:t xml:space="preserve">  培训机构的行政主要负责人依法行使教学和行政管理职责，应符合以下条件：</w:t>
      </w:r>
    </w:p>
    <w:p>
      <w:pPr>
        <w:spacing w:line="600" w:lineRule="exact"/>
        <w:ind w:firstLine="640" w:firstLineChars="200"/>
      </w:pPr>
      <w:r>
        <w:rPr>
          <w:rFonts w:hint="eastAsia"/>
        </w:rPr>
        <w:t>（一）具有中华人民共和国国籍，在中国境内定居；</w:t>
      </w:r>
    </w:p>
    <w:p>
      <w:pPr>
        <w:spacing w:line="600" w:lineRule="exact"/>
        <w:ind w:firstLine="640" w:firstLineChars="200"/>
      </w:pPr>
      <w:r>
        <w:rPr>
          <w:rFonts w:hint="eastAsia"/>
        </w:rPr>
        <w:t>（二）具有政治权利和完全民事行为能力，信用状况良好，无犯罪记录，无教育及相关领域不良从业记录；</w:t>
      </w:r>
    </w:p>
    <w:p>
      <w:pPr>
        <w:spacing w:line="600" w:lineRule="exact"/>
        <w:ind w:firstLine="640" w:firstLineChars="200"/>
      </w:pPr>
      <w:r>
        <w:rPr>
          <w:rFonts w:hint="eastAsia"/>
        </w:rPr>
        <w:t>（三）身体健康，年龄不超过70周岁；</w:t>
      </w:r>
    </w:p>
    <w:p>
      <w:pPr>
        <w:spacing w:line="600" w:lineRule="exact"/>
        <w:ind w:firstLine="640" w:firstLineChars="200"/>
      </w:pPr>
      <w:r>
        <w:rPr>
          <w:rFonts w:hint="eastAsia"/>
        </w:rPr>
        <w:t>（四）大学专科及以上学历，具有</w:t>
      </w:r>
      <w:r>
        <w:rPr>
          <w:rFonts w:hint="eastAsia"/>
          <w:lang w:val="en"/>
        </w:rPr>
        <w:t>3</w:t>
      </w:r>
      <w:r>
        <w:rPr>
          <w:rFonts w:hint="eastAsia"/>
        </w:rPr>
        <w:t>年以上教育管理经验。</w:t>
      </w:r>
    </w:p>
    <w:p>
      <w:pPr>
        <w:pStyle w:val="2"/>
        <w:spacing w:before="0" w:line="600" w:lineRule="exact"/>
        <w:ind w:left="0" w:firstLine="640" w:firstLineChars="200"/>
        <w:rPr>
          <w:rFonts w:ascii="Times New Roman" w:hAnsi="Times New Roman" w:eastAsia="仿宋_GB2312" w:cs="Times New Roman"/>
          <w:b w:val="0"/>
        </w:rPr>
      </w:pPr>
    </w:p>
    <w:p>
      <w:pPr>
        <w:spacing w:line="600" w:lineRule="exact"/>
        <w:jc w:val="center"/>
        <w:rPr>
          <w:rFonts w:ascii="黑体" w:hAnsi="黑体" w:eastAsia="黑体"/>
        </w:rPr>
      </w:pPr>
      <w:r>
        <w:rPr>
          <w:rFonts w:hint="eastAsia" w:ascii="黑体" w:hAnsi="黑体" w:eastAsia="黑体"/>
        </w:rPr>
        <w:t>第六章  培训内容</w:t>
      </w:r>
    </w:p>
    <w:p>
      <w:pPr>
        <w:spacing w:line="600" w:lineRule="exact"/>
        <w:ind w:firstLine="640" w:firstLineChars="200"/>
      </w:pPr>
      <w:r>
        <w:rPr>
          <w:rFonts w:hint="eastAsia" w:eastAsia="黑体"/>
        </w:rPr>
        <w:t>第二十六条</w:t>
      </w:r>
      <w:r>
        <w:rPr>
          <w:rFonts w:hint="eastAsia"/>
        </w:rPr>
        <w:t xml:space="preserve">  培训机构应贯彻党的教育方针，积极实施素质教育，围绕提升学生身体素质和健康水平、人文素养和审美能力、科学思维和创新能力等目标，制定与培训项目相对应的培训计划、教学大纲，合理安排培训课程内容。不得以任何形式在培训项目中安排学科类课程内容。</w:t>
      </w:r>
    </w:p>
    <w:p>
      <w:pPr>
        <w:spacing w:line="600" w:lineRule="exact"/>
        <w:ind w:firstLine="640" w:firstLineChars="200"/>
      </w:pPr>
      <w:r>
        <w:rPr>
          <w:rFonts w:hint="eastAsia" w:eastAsia="黑体"/>
        </w:rPr>
        <w:t>第二十七条</w:t>
      </w:r>
      <w:r>
        <w:rPr>
          <w:rFonts w:hint="eastAsia"/>
        </w:rPr>
        <w:t xml:space="preserve">  培训机构开设的培训课程包括培训名称、培训目的、培训对象、培训大纲、培训内容、培训价格、培训时间、授课教员等项目应通过“四川省校外培训机构信息管理平台”（以下简称“平台”）申请，由主管部门审核，教育部门核准。各主管部门应会同教育部门成立课程审核专家委员会，依据中小学课程标准和综合素质拓展要求进行审核；教育部门对课程中是否含有学科类培训内容进行鉴别，无学科类培训内容的课程予以核准。经审核、核准的课程，培训机构方可在平台上架销售和开展培训活动。</w:t>
      </w:r>
    </w:p>
    <w:p>
      <w:pPr>
        <w:spacing w:line="600" w:lineRule="exact"/>
        <w:ind w:firstLine="640" w:firstLineChars="200"/>
      </w:pPr>
      <w:r>
        <w:rPr>
          <w:rFonts w:hint="eastAsia" w:eastAsia="黑体"/>
        </w:rPr>
        <w:t>第二十八条</w:t>
      </w:r>
      <w:r>
        <w:rPr>
          <w:rFonts w:hint="eastAsia"/>
        </w:rPr>
        <w:t xml:space="preserve">  培训机构应当选用正式出版发行的培训材料。自编培训材料必须经过审核登记，符合《中小学生校外培训材料管理办法（试行）》等国家及我省有关规定。培训机构应当建立材料审核、选用及人员资质审查等内部管理制度，并在培训机构招生简介、官方网站、平台上予以公示。所有培训材料、资料及编写研发人员信息应报送县级主管部门审核和教育部门备案。培训机构应建立培训材料保管、备查制度，保管期限不少于材料使用完毕后3年。</w:t>
      </w:r>
    </w:p>
    <w:p>
      <w:pPr>
        <w:spacing w:line="600" w:lineRule="exact"/>
        <w:ind w:firstLine="640" w:firstLineChars="200"/>
      </w:pPr>
      <w:r>
        <w:rPr>
          <w:rFonts w:hint="eastAsia" w:eastAsia="黑体"/>
        </w:rPr>
        <w:t>第二十九条</w:t>
      </w:r>
      <w:r>
        <w:rPr>
          <w:rFonts w:hint="eastAsia"/>
        </w:rPr>
        <w:t xml:space="preserve">  培训机构严禁使用违背社会主义核心价值观的培训材料和资料，严禁使用境外培训课件及资料，严禁提供境外教育课程，严禁使用低俗违法、盗版侵权的培训材料和资料。严格教师教学管理，对教育教学活动中出现的不当言行，按照“谁举办谁负责”的原则，严格追责问责。</w:t>
      </w:r>
    </w:p>
    <w:p>
      <w:pPr>
        <w:pStyle w:val="2"/>
        <w:spacing w:before="0" w:line="600" w:lineRule="exact"/>
        <w:ind w:left="0" w:firstLine="640" w:firstLineChars="200"/>
        <w:rPr>
          <w:rFonts w:ascii="Times New Roman" w:hAnsi="Times New Roman" w:eastAsia="仿宋_GB2312" w:cs="Times New Roman"/>
          <w:b w:val="0"/>
        </w:rPr>
      </w:pPr>
    </w:p>
    <w:p>
      <w:pPr>
        <w:spacing w:line="600" w:lineRule="exact"/>
        <w:ind w:firstLine="640" w:firstLineChars="200"/>
        <w:jc w:val="center"/>
        <w:rPr>
          <w:rFonts w:ascii="黑体" w:hAnsi="黑体" w:eastAsia="黑体"/>
        </w:rPr>
      </w:pPr>
      <w:r>
        <w:rPr>
          <w:rFonts w:hint="eastAsia" w:ascii="黑体" w:hAnsi="黑体" w:eastAsia="黑体"/>
        </w:rPr>
        <w:t>第七章  行为规范</w:t>
      </w:r>
    </w:p>
    <w:p>
      <w:pPr>
        <w:spacing w:line="600" w:lineRule="exact"/>
        <w:ind w:firstLine="640" w:firstLineChars="200"/>
      </w:pPr>
      <w:r>
        <w:rPr>
          <w:rFonts w:hint="eastAsia" w:eastAsia="黑体"/>
        </w:rPr>
        <w:t>第三十条</w:t>
      </w:r>
      <w:r>
        <w:rPr>
          <w:rFonts w:hint="eastAsia"/>
        </w:rPr>
        <w:t xml:space="preserve">  培训机构经审批取得办学许可证、营业执照或民办非企业单位登记证书后，应通过平台完成注册，实施“实名制”管理，如实登记培训项目、培训内容、培训材料、培训教员、培训学员等信息，开设资金监管账户，使用平台上架、售卖课程及退费，自觉接受主管部门线上监管。</w:t>
      </w:r>
    </w:p>
    <w:p>
      <w:pPr>
        <w:spacing w:line="600" w:lineRule="exact"/>
        <w:ind w:firstLine="640" w:firstLineChars="200"/>
      </w:pPr>
      <w:r>
        <w:rPr>
          <w:rFonts w:hint="eastAsia" w:eastAsia="黑体"/>
        </w:rPr>
        <w:t>第三十一条</w:t>
      </w:r>
      <w:r>
        <w:rPr>
          <w:rFonts w:hint="eastAsia"/>
        </w:rPr>
        <w:t xml:space="preserve">  培训机构不得开展或变相开展学科类培训。开展的培训活动不得与当地中小学校（园）教学时间相冲突，线下培训结束时间不得晚于20:30，线上培训结束时间不得晚于21:00。</w:t>
      </w:r>
    </w:p>
    <w:p>
      <w:pPr>
        <w:spacing w:line="600" w:lineRule="exact"/>
        <w:ind w:firstLine="640" w:firstLineChars="200"/>
      </w:pPr>
      <w:r>
        <w:rPr>
          <w:rFonts w:hint="eastAsia" w:eastAsia="黑体"/>
        </w:rPr>
        <w:t>第三十二条</w:t>
      </w:r>
      <w:r>
        <w:rPr>
          <w:rFonts w:hint="eastAsia"/>
        </w:rPr>
        <w:t xml:space="preserve">  培训机构发布的招生简章应载明机构名称、法人属性、办学地址、办学形式、培训内容、培训期限、招生对象、收费项目和标准等内容。招生宣传内容应当真实、合法，不得夸大其词、虚假宣传；不得对升学、通过考试或培训效果作出明示或暗示的保证性承诺；不得利用科研单位、学术机构、教育机构、行业协会、专业人士、受益者的名义或者形象作推荐、证明。培训机构不得在主流媒体及其新媒体、网络平台、公共场所、居民区刊登、播发培训广告；不得在中小学校（园）内开展商业广告活动；不得以暴力、威胁等手段强迫学生接受培训。</w:t>
      </w:r>
    </w:p>
    <w:p>
      <w:pPr>
        <w:spacing w:line="600" w:lineRule="exact"/>
        <w:ind w:firstLine="640" w:firstLineChars="200"/>
      </w:pPr>
      <w:r>
        <w:rPr>
          <w:rFonts w:hint="eastAsia"/>
        </w:rPr>
        <w:t>培训机构应在发布招生简章3个工作日前报主管部门备案，发布内容应与备案内容一致。</w:t>
      </w:r>
    </w:p>
    <w:p>
      <w:pPr>
        <w:spacing w:line="600" w:lineRule="exact"/>
        <w:ind w:firstLine="640" w:firstLineChars="200"/>
      </w:pPr>
      <w:r>
        <w:rPr>
          <w:rFonts w:hint="eastAsia" w:eastAsia="黑体"/>
        </w:rPr>
        <w:t>第三十三条</w:t>
      </w:r>
      <w:r>
        <w:rPr>
          <w:rFonts w:hint="eastAsia"/>
          <w:shd w:val="clear" w:color="auto" w:fill="FFFFFF"/>
        </w:rPr>
        <w:t xml:space="preserve">  </w:t>
      </w:r>
      <w:r>
        <w:rPr>
          <w:rFonts w:hint="eastAsia"/>
        </w:rPr>
        <w:t>线下培训机构不得开展线上培训活动。</w:t>
      </w:r>
      <w:r>
        <w:rPr>
          <w:rFonts w:hint="eastAsia"/>
          <w:shd w:val="clear" w:color="auto" w:fill="FFFFFF"/>
        </w:rPr>
        <w:t>线上</w:t>
      </w:r>
      <w:r>
        <w:rPr>
          <w:rFonts w:hint="eastAsia"/>
        </w:rPr>
        <w:t>培训机构开展培训，应符合线下培训的各项要求（除场地外），还应按照有关法律法规要求，落实网络安全保护义务，提高网络安全防护能力。</w:t>
      </w:r>
    </w:p>
    <w:p>
      <w:pPr>
        <w:spacing w:line="600" w:lineRule="exact"/>
        <w:ind w:firstLine="640" w:firstLineChars="200"/>
      </w:pPr>
      <w:r>
        <w:rPr>
          <w:rFonts w:hint="eastAsia" w:eastAsia="黑体"/>
        </w:rPr>
        <w:t>第三十四条</w:t>
      </w:r>
      <w:r>
        <w:rPr>
          <w:rFonts w:hint="eastAsia"/>
        </w:rPr>
        <w:t xml:space="preserve">  培训机构应建立完善收费管理制度，综合考虑办学成本、市场需求等因素，合理制定收费标准，实行明码标价，并面向学生及家长公示。不得在公示的项目和标准外收取其他费用；</w:t>
      </w:r>
      <w:r>
        <w:rPr>
          <w:rFonts w:hint="eastAsia"/>
          <w:shd w:val="clear" w:color="auto" w:fill="FFFFFF"/>
        </w:rPr>
        <w:t>不得使用“培训贷”等违规方式收取培训费用；</w:t>
      </w:r>
      <w:r>
        <w:rPr>
          <w:rFonts w:hint="eastAsia"/>
        </w:rPr>
        <w:t>不得向学生及家长售卖资料、书籍、辅助工具、器材等商品，也不得强制或变相强制学生及家长购买；不得一次性收取或变相收取时间跨度超过3个月或60课时的费用，且不得超过5000元。预收培训费应全额存入监管账户，接受监管。</w:t>
      </w:r>
    </w:p>
    <w:p>
      <w:pPr>
        <w:spacing w:line="600" w:lineRule="exact"/>
        <w:ind w:firstLine="640" w:firstLineChars="200"/>
      </w:pPr>
      <w:r>
        <w:rPr>
          <w:rFonts w:hint="eastAsia" w:eastAsia="黑体"/>
        </w:rPr>
        <w:t>第三十五条</w:t>
      </w:r>
      <w:r>
        <w:rPr>
          <w:rFonts w:hint="eastAsia"/>
        </w:rPr>
        <w:t xml:space="preserve">  培训机构应与学员签订培训合同，规范使用《中小学生校外培训服务合同（示范文本）》，并按照相关规定开具正式收费票据。</w:t>
      </w:r>
    </w:p>
    <w:p>
      <w:pPr>
        <w:spacing w:line="600" w:lineRule="exact"/>
        <w:ind w:firstLine="640" w:firstLineChars="200"/>
      </w:pPr>
      <w:r>
        <w:rPr>
          <w:rFonts w:hint="eastAsia" w:eastAsia="黑体"/>
        </w:rPr>
        <w:t>第三十六条</w:t>
      </w:r>
      <w:r>
        <w:rPr>
          <w:rFonts w:hint="eastAsia"/>
        </w:rPr>
        <w:t xml:space="preserve">  培训机构应依法建立财务会计制度和资产管理制度，设置会计账簿、实行会计核算。应在每个会计年度结束时制作财务会计报告，委托会计师事务所依法进行审计并公布审计结果。</w:t>
      </w:r>
    </w:p>
    <w:p>
      <w:pPr>
        <w:spacing w:line="600" w:lineRule="exact"/>
        <w:ind w:firstLine="640" w:firstLineChars="200"/>
      </w:pPr>
      <w:r>
        <w:rPr>
          <w:rFonts w:hint="eastAsia" w:eastAsia="黑体"/>
        </w:rPr>
        <w:t>第三十七条</w:t>
      </w:r>
      <w:r>
        <w:rPr>
          <w:rFonts w:hint="eastAsia"/>
        </w:rPr>
        <w:t xml:space="preserve">  培训机构应建立健全安全管理机构、各项安全管理制度和工作规范，明确管理人员，加强安全管理，将安全注意事项、平面示意图及疏散通道指示图等悬挂在醒目位置，设置醒目的安全指示标志，确保安全疏散通道畅通。建立“人防、物防、技防”三位一体的安全防范体系，实现视频监控全覆盖。制定事故应急处置预案，并每年至少组织2次演练。落实疫情防控主体责任，完善疫情防控工作方案和应急预案，落实传染病防控措施。</w:t>
      </w:r>
    </w:p>
    <w:p>
      <w:pPr>
        <w:spacing w:line="600" w:lineRule="exact"/>
        <w:ind w:firstLine="640" w:firstLineChars="200"/>
      </w:pPr>
      <w:r>
        <w:rPr>
          <w:rFonts w:hint="eastAsia" w:eastAsia="黑体"/>
        </w:rPr>
        <w:t>第三十八条</w:t>
      </w:r>
      <w:r>
        <w:rPr>
          <w:rFonts w:hint="eastAsia"/>
        </w:rPr>
        <w:t xml:space="preserve">  培训机构应当通过为培训学员购买人身安全保险等必要方式，防范和化解安全事故风险。</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第八章  审批登记</w:t>
      </w:r>
    </w:p>
    <w:p>
      <w:pPr>
        <w:spacing w:line="600" w:lineRule="exact"/>
        <w:ind w:firstLine="640" w:firstLineChars="200"/>
      </w:pPr>
      <w:r>
        <w:rPr>
          <w:rFonts w:hint="eastAsia" w:eastAsia="黑体"/>
        </w:rPr>
        <w:t>第三十九条</w:t>
      </w:r>
      <w:r>
        <w:rPr>
          <w:rFonts w:hint="eastAsia"/>
        </w:rPr>
        <w:t xml:space="preserve">  预先登记名称。其中，营利性培训机构举办者需先到县级市场主体登记机关申请办理名称预先登记，并取得《市场主体名称预先登记告知书》；非营利性培训机构举办者需先到县级民办非企业单位登记管理机关办理《社会组织名称预先登记通知书》。</w:t>
      </w:r>
    </w:p>
    <w:p>
      <w:pPr>
        <w:spacing w:line="600" w:lineRule="exact"/>
        <w:ind w:firstLine="640" w:firstLineChars="200"/>
      </w:pPr>
      <w:r>
        <w:rPr>
          <w:rFonts w:hint="eastAsia" w:eastAsia="黑体"/>
        </w:rPr>
        <w:t>第四十条</w:t>
      </w:r>
      <w:r>
        <w:rPr>
          <w:rFonts w:hint="eastAsia"/>
        </w:rPr>
        <w:t xml:space="preserve">  培训机构审批实行属地化管理。核名通过后，举办者应向县级主管部门提出申请，县级主管部门负责受理申请材料，会同有关部门对申请材料进行审核和实地查验，根据审查情况作出是否同意设立的意见。同意设立非营利性质的培训机构，主管部门还应出具同意担任民办非企业单位业务主管单位的意见。</w:t>
      </w:r>
    </w:p>
    <w:p>
      <w:pPr>
        <w:spacing w:line="600" w:lineRule="exact"/>
        <w:ind w:firstLine="640" w:firstLineChars="200"/>
      </w:pPr>
      <w:r>
        <w:rPr>
          <w:rFonts w:hint="eastAsia" w:eastAsia="黑体"/>
        </w:rPr>
        <w:t>第四十一条</w:t>
      </w:r>
      <w:r>
        <w:rPr>
          <w:rFonts w:hint="eastAsia"/>
        </w:rPr>
        <w:t xml:space="preserve">  举办者应按照《中华人民共和国民办教育促进法》等法律法规及国家和省其他相关规定，持主管部门出具的同意设立意见到教育部门申请办学许可。教育部门根据主管部门出具的同意设立意见核发办学许可证，并会同主管部门在办学许可证上签章。</w:t>
      </w:r>
    </w:p>
    <w:p>
      <w:pPr>
        <w:spacing w:line="600" w:lineRule="exact"/>
        <w:ind w:firstLine="640" w:firstLineChars="200"/>
      </w:pPr>
      <w:r>
        <w:rPr>
          <w:rFonts w:hint="eastAsia" w:eastAsia="黑体"/>
        </w:rPr>
        <w:t>第四十二条</w:t>
      </w:r>
      <w:r>
        <w:rPr>
          <w:rFonts w:hint="eastAsia"/>
        </w:rPr>
        <w:t xml:space="preserve">  举办者应按照《市场主体登记管理条例》《民办非企业单位登记管理暂行条例》及国家和省相关职能部门的规定，凭办学许可证到市场主体登记机关或民办非企业单位登记管理机关办理登记注册。各地相关职能部门应当明确申请登记需要的材料清单并向社会公开。</w:t>
      </w:r>
    </w:p>
    <w:p>
      <w:pPr>
        <w:spacing w:line="600" w:lineRule="exact"/>
        <w:ind w:firstLine="640" w:firstLineChars="200"/>
      </w:pPr>
      <w:r>
        <w:rPr>
          <w:rFonts w:hint="eastAsia"/>
        </w:rPr>
        <w:t>已实施行政许可权集中试点的县（市、区），按照职责划分履行职责。</w:t>
      </w:r>
    </w:p>
    <w:p>
      <w:pPr>
        <w:spacing w:line="600" w:lineRule="exact"/>
        <w:ind w:firstLine="640" w:firstLineChars="200"/>
      </w:pPr>
      <w:r>
        <w:rPr>
          <w:rFonts w:hint="eastAsia" w:eastAsia="黑体"/>
        </w:rPr>
        <w:t>第四十三条</w:t>
      </w:r>
      <w:r>
        <w:rPr>
          <w:rFonts w:hint="eastAsia"/>
        </w:rPr>
        <w:t xml:space="preserve">  举办者向主管部门申请设立培训机构，应当提交下列材料：</w:t>
      </w:r>
    </w:p>
    <w:p>
      <w:pPr>
        <w:spacing w:line="600" w:lineRule="exact"/>
        <w:ind w:firstLine="640" w:firstLineChars="200"/>
      </w:pPr>
      <w:r>
        <w:rPr>
          <w:rFonts w:hint="eastAsia"/>
        </w:rPr>
        <w:t>（一）非学科类校外培训机构申办审批表；</w:t>
      </w:r>
    </w:p>
    <w:p>
      <w:pPr>
        <w:spacing w:line="600" w:lineRule="exact"/>
        <w:ind w:firstLine="640" w:firstLineChars="200"/>
      </w:pPr>
      <w:r>
        <w:rPr>
          <w:rFonts w:hint="eastAsia"/>
        </w:rPr>
        <w:t>（二）培训机构举办者、法定代表人、行政主要负责人有效身份证明及社会信用证明；</w:t>
      </w:r>
    </w:p>
    <w:p>
      <w:pPr>
        <w:spacing w:line="600" w:lineRule="exact"/>
        <w:ind w:firstLine="640" w:firstLineChars="200"/>
      </w:pPr>
      <w:r>
        <w:rPr>
          <w:rFonts w:hint="eastAsia"/>
        </w:rPr>
        <w:t>（三）开办资金（注册资本）投入的有效证明材料；</w:t>
      </w:r>
    </w:p>
    <w:p>
      <w:pPr>
        <w:spacing w:line="600" w:lineRule="exact"/>
        <w:ind w:firstLine="640" w:firstLineChars="200"/>
      </w:pPr>
      <w:r>
        <w:rPr>
          <w:rFonts w:hint="eastAsia"/>
        </w:rPr>
        <w:t>（四）培训机构章程和内部管理制度；</w:t>
      </w:r>
    </w:p>
    <w:p>
      <w:pPr>
        <w:spacing w:line="600" w:lineRule="exact"/>
        <w:ind w:firstLine="640" w:firstLineChars="200"/>
      </w:pPr>
      <w:r>
        <w:rPr>
          <w:rFonts w:hint="eastAsia"/>
        </w:rPr>
        <w:t>（五）培训场所房产权属证明，租赁场地还应当提交租赁期不少于两年的租赁合同（协议）；培训场所内部结构平面图，应当标明实际用于教学的区域、面积；</w:t>
      </w:r>
    </w:p>
    <w:p>
      <w:pPr>
        <w:spacing w:line="600" w:lineRule="exact"/>
        <w:ind w:firstLine="640" w:firstLineChars="200"/>
      </w:pPr>
      <w:r>
        <w:rPr>
          <w:rFonts w:hint="eastAsia"/>
        </w:rPr>
        <w:t>（六）关于房屋安全、消防、环保、卫生等内容检查合格的有效证明材料；</w:t>
      </w:r>
    </w:p>
    <w:p>
      <w:pPr>
        <w:spacing w:line="600" w:lineRule="exact"/>
        <w:ind w:firstLine="640" w:firstLineChars="200"/>
      </w:pPr>
      <w:r>
        <w:rPr>
          <w:rFonts w:hint="eastAsia"/>
        </w:rPr>
        <w:t>（七）从业人员身份证复印件、健康证明及相关从业资质证明和安全保卫人员安全背景审查材料、培训机构从业人员明细表（从业人员包括：法定代表人、行政主要负责人、教学管理人员、教学教研人员、财务管理人员、安全保卫人员等）；</w:t>
      </w:r>
    </w:p>
    <w:p>
      <w:pPr>
        <w:spacing w:line="600" w:lineRule="exact"/>
        <w:ind w:firstLine="640" w:firstLineChars="200"/>
      </w:pPr>
      <w:r>
        <w:rPr>
          <w:rFonts w:hint="eastAsia"/>
        </w:rPr>
        <w:t>（八）拟开设培训项目的相关材料；</w:t>
      </w:r>
    </w:p>
    <w:p>
      <w:pPr>
        <w:spacing w:line="600" w:lineRule="exact"/>
        <w:ind w:firstLine="640" w:firstLineChars="200"/>
      </w:pPr>
      <w:r>
        <w:rPr>
          <w:rFonts w:hint="eastAsia"/>
        </w:rPr>
        <w:t>（九）联合举办培训机构的，还应当提交联合办学协议；</w:t>
      </w:r>
    </w:p>
    <w:p>
      <w:pPr>
        <w:spacing w:line="600" w:lineRule="exact"/>
        <w:ind w:firstLine="640" w:firstLineChars="200"/>
      </w:pPr>
      <w:r>
        <w:rPr>
          <w:rFonts w:hint="eastAsia"/>
        </w:rPr>
        <w:t>（十）意识形态工作承诺书；</w:t>
      </w:r>
    </w:p>
    <w:p>
      <w:pPr>
        <w:spacing w:line="600" w:lineRule="exact"/>
        <w:ind w:firstLine="640" w:firstLineChars="200"/>
      </w:pPr>
      <w:r>
        <w:rPr>
          <w:rFonts w:hint="eastAsia"/>
        </w:rPr>
        <w:t>（十一）主管部门及审批机关要求提供的其他有关材料。</w:t>
      </w:r>
    </w:p>
    <w:p>
      <w:pPr>
        <w:spacing w:line="600" w:lineRule="exact"/>
        <w:ind w:firstLine="640" w:firstLineChars="200"/>
      </w:pPr>
      <w:r>
        <w:rPr>
          <w:rFonts w:hint="eastAsia" w:eastAsia="黑体"/>
        </w:rPr>
        <w:t>第四十四条</w:t>
      </w:r>
      <w:r>
        <w:rPr>
          <w:rFonts w:hint="eastAsia"/>
        </w:rPr>
        <w:t xml:space="preserve">  审批流程</w:t>
      </w:r>
    </w:p>
    <w:p>
      <w:pPr>
        <w:spacing w:line="600" w:lineRule="exact"/>
        <w:ind w:firstLine="640" w:firstLineChars="200"/>
      </w:pPr>
      <w:r>
        <w:rPr>
          <w:rFonts w:hint="eastAsia"/>
        </w:rPr>
        <w:t>（一）申请设立</w:t>
      </w:r>
    </w:p>
    <w:p>
      <w:pPr>
        <w:spacing w:line="600" w:lineRule="exact"/>
        <w:ind w:firstLine="640" w:firstLineChars="200"/>
      </w:pPr>
      <w:r>
        <w:rPr>
          <w:rFonts w:hint="eastAsia"/>
        </w:rPr>
        <w:t>培训机构举办者向县级主管部门提出申请，需提交第四十三条所列的材料及本办法要求的其他材料。</w:t>
      </w:r>
    </w:p>
    <w:p>
      <w:pPr>
        <w:spacing w:line="600" w:lineRule="exact"/>
        <w:ind w:firstLine="640" w:firstLineChars="200"/>
      </w:pPr>
      <w:r>
        <w:rPr>
          <w:rFonts w:hint="eastAsia"/>
        </w:rPr>
        <w:t>（二）审核</w:t>
      </w:r>
    </w:p>
    <w:p>
      <w:pPr>
        <w:spacing w:line="600" w:lineRule="exact"/>
        <w:ind w:firstLine="640" w:firstLineChars="200"/>
      </w:pPr>
      <w:r>
        <w:rPr>
          <w:rFonts w:hint="eastAsia"/>
        </w:rPr>
        <w:t>1.材料审核。对申请材料齐全的，主管部门会同相关职能部门对申报材料进行审核。</w:t>
      </w:r>
    </w:p>
    <w:p>
      <w:pPr>
        <w:spacing w:line="600" w:lineRule="exact"/>
        <w:ind w:firstLine="640" w:firstLineChars="200"/>
      </w:pPr>
      <w:r>
        <w:rPr>
          <w:rFonts w:hint="eastAsia"/>
        </w:rPr>
        <w:t>2.实地查验。对材料审核通过的培训机构，主管部门会同相关职能部门，进行现场查验。</w:t>
      </w:r>
    </w:p>
    <w:p>
      <w:pPr>
        <w:spacing w:line="600" w:lineRule="exact"/>
        <w:ind w:firstLine="640" w:firstLineChars="200"/>
      </w:pPr>
      <w:r>
        <w:rPr>
          <w:rFonts w:hint="eastAsia"/>
        </w:rPr>
        <w:t>3.公示。经审核和查验，对拟同意设立的培训机构，在主管部门官方网站等进行公示（公示期一般为3个工作日）。</w:t>
      </w:r>
    </w:p>
    <w:p>
      <w:pPr>
        <w:spacing w:line="600" w:lineRule="exact"/>
        <w:ind w:firstLine="640" w:firstLineChars="200"/>
      </w:pPr>
      <w:r>
        <w:rPr>
          <w:rFonts w:hint="eastAsia"/>
        </w:rPr>
        <w:t>4.结论。公示无异议，主管部门作出同意设立的意见，同时抄送同级教育部门。</w:t>
      </w:r>
    </w:p>
    <w:p>
      <w:pPr>
        <w:spacing w:line="600" w:lineRule="exact"/>
        <w:ind w:firstLine="640" w:firstLineChars="200"/>
      </w:pPr>
      <w:r>
        <w:rPr>
          <w:rFonts w:hint="eastAsia"/>
        </w:rPr>
        <w:t>（三）申请办学许可</w:t>
      </w:r>
    </w:p>
    <w:p>
      <w:pPr>
        <w:spacing w:line="600" w:lineRule="exact"/>
        <w:ind w:firstLine="640" w:firstLineChars="200"/>
      </w:pPr>
      <w:r>
        <w:rPr>
          <w:rFonts w:hint="eastAsia"/>
        </w:rPr>
        <w:t>举办者持同意设立的意见至教育部门或履行主管部门行政审批职能的部门申请办学许可。</w:t>
      </w:r>
    </w:p>
    <w:p>
      <w:pPr>
        <w:spacing w:line="600" w:lineRule="exact"/>
        <w:ind w:firstLine="640" w:firstLineChars="200"/>
      </w:pPr>
      <w:r>
        <w:rPr>
          <w:rFonts w:hint="eastAsia"/>
        </w:rPr>
        <w:t>（四）法人登记</w:t>
      </w:r>
    </w:p>
    <w:p>
      <w:pPr>
        <w:spacing w:line="600" w:lineRule="exact"/>
        <w:ind w:firstLine="640" w:firstLineChars="200"/>
      </w:pPr>
      <w:r>
        <w:rPr>
          <w:rFonts w:hint="eastAsia"/>
        </w:rPr>
        <w:t>举办者持办学许可证，至县级市场主体登记机关或民办非企业单位登记（管理）机关办理营利性企业法人或者非营利性法人培训机构的登记手续。登记完成后，举办者应向主管部门和教育部门提交非营利性法人登记证书或者营利性企业营业执照复印件备案。</w:t>
      </w:r>
    </w:p>
    <w:p>
      <w:pPr>
        <w:numPr>
          <w:ilvl w:val="0"/>
          <w:numId w:val="1"/>
        </w:numPr>
        <w:spacing w:line="600" w:lineRule="exact"/>
        <w:ind w:firstLine="640" w:firstLineChars="200"/>
      </w:pPr>
      <w:r>
        <w:rPr>
          <w:rFonts w:hint="eastAsia"/>
        </w:rPr>
        <w:t>平台注册</w:t>
      </w:r>
    </w:p>
    <w:p>
      <w:pPr>
        <w:spacing w:line="600" w:lineRule="exact"/>
        <w:ind w:firstLine="640" w:firstLineChars="200"/>
      </w:pPr>
      <w:r>
        <w:rPr>
          <w:rFonts w:hint="eastAsia"/>
        </w:rPr>
        <w:t>举办者完成法人登记后，应在平台完成注册，由主管部门负责在平台审核培训机构信息。</w:t>
      </w:r>
    </w:p>
    <w:p>
      <w:pPr>
        <w:spacing w:line="600" w:lineRule="exact"/>
        <w:ind w:firstLine="640" w:firstLineChars="200"/>
      </w:pPr>
      <w:r>
        <w:rPr>
          <w:rFonts w:hint="eastAsia" w:eastAsia="黑体"/>
        </w:rPr>
        <w:t>第四十五条</w:t>
      </w:r>
      <w:r>
        <w:rPr>
          <w:rFonts w:hint="eastAsia"/>
        </w:rPr>
        <w:t xml:space="preserve">  培训机构法定代表人、场所地址、培训范围、培训对象等事项变更或不再从事非学科类校外培训业务的培训机构，须在平台提交变更或终止申请，同时，书面向主管部门提交申请书，由主管部门同意后到登记（管理）机关依法申请办理变更或注销登记。</w:t>
      </w:r>
    </w:p>
    <w:p>
      <w:pPr>
        <w:spacing w:line="600" w:lineRule="exact"/>
        <w:ind w:firstLine="640" w:firstLineChars="200"/>
      </w:pPr>
      <w:r>
        <w:rPr>
          <w:rFonts w:hint="eastAsia" w:eastAsia="黑体"/>
        </w:rPr>
        <w:t>第四十六条</w:t>
      </w:r>
      <w:r>
        <w:rPr>
          <w:rFonts w:hint="eastAsia"/>
        </w:rPr>
        <w:t xml:space="preserve">  培训机构有下列情形之一的，应当终止培训：</w:t>
      </w:r>
    </w:p>
    <w:p>
      <w:pPr>
        <w:spacing w:line="600" w:lineRule="exact"/>
        <w:ind w:firstLine="640" w:firstLineChars="200"/>
      </w:pPr>
      <w:r>
        <w:rPr>
          <w:rFonts w:hint="eastAsia"/>
        </w:rPr>
        <w:t>（一）举办者依据机构章程规定自行要求终止，并经审批机关批准的；</w:t>
      </w:r>
    </w:p>
    <w:p>
      <w:pPr>
        <w:spacing w:line="600" w:lineRule="exact"/>
        <w:ind w:firstLine="640" w:firstLineChars="200"/>
      </w:pPr>
      <w:r>
        <w:rPr>
          <w:rFonts w:hint="eastAsia"/>
        </w:rPr>
        <w:t>（二）被吊销营业执照、民办非企业单位法人证书或办学许可证，责令关闭的；</w:t>
      </w:r>
    </w:p>
    <w:p>
      <w:pPr>
        <w:spacing w:line="600" w:lineRule="exact"/>
        <w:ind w:firstLine="640" w:firstLineChars="200"/>
      </w:pPr>
      <w:r>
        <w:rPr>
          <w:rFonts w:hint="eastAsia"/>
        </w:rPr>
        <w:t>（三）营业执照所载明营业期限已到期的；</w:t>
      </w:r>
    </w:p>
    <w:p>
      <w:pPr>
        <w:spacing w:line="600" w:lineRule="exact"/>
        <w:ind w:firstLine="640" w:firstLineChars="200"/>
      </w:pPr>
      <w:r>
        <w:rPr>
          <w:rFonts w:hint="eastAsia"/>
        </w:rPr>
        <w:t>（四）被撤销同意设立意见的；</w:t>
      </w:r>
    </w:p>
    <w:p>
      <w:pPr>
        <w:spacing w:line="600" w:lineRule="exact"/>
        <w:ind w:firstLine="640" w:firstLineChars="200"/>
      </w:pPr>
      <w:r>
        <w:rPr>
          <w:rFonts w:hint="eastAsia"/>
        </w:rPr>
        <w:t>（五）因资不抵债等原因无法继续开展培训活动的；</w:t>
      </w:r>
    </w:p>
    <w:p>
      <w:pPr>
        <w:spacing w:line="600" w:lineRule="exact"/>
        <w:ind w:firstLine="640" w:firstLineChars="200"/>
      </w:pPr>
      <w:r>
        <w:rPr>
          <w:rFonts w:hint="eastAsia"/>
        </w:rPr>
        <w:t>（六）培训场所有重大安全隐患的；</w:t>
      </w:r>
    </w:p>
    <w:p>
      <w:pPr>
        <w:spacing w:line="600" w:lineRule="exact"/>
        <w:ind w:firstLine="640" w:firstLineChars="200"/>
      </w:pPr>
      <w:r>
        <w:rPr>
          <w:rFonts w:hint="eastAsia"/>
        </w:rPr>
        <w:t>（七）连续三年年检不合格的；</w:t>
      </w:r>
    </w:p>
    <w:p>
      <w:pPr>
        <w:spacing w:line="600" w:lineRule="exact"/>
        <w:ind w:firstLine="640" w:firstLineChars="200"/>
      </w:pPr>
      <w:r>
        <w:rPr>
          <w:rFonts w:hint="eastAsia"/>
        </w:rPr>
        <w:t>（八）出现意识形态不当言行等情况且拒绝整改的；</w:t>
      </w:r>
    </w:p>
    <w:p>
      <w:pPr>
        <w:pStyle w:val="5"/>
        <w:spacing w:line="600" w:lineRule="exact"/>
        <w:ind w:firstLine="640"/>
        <w:rPr>
          <w:rFonts w:hint="default" w:ascii="Times New Roman" w:hAnsi="Times New Roman" w:eastAsia="仿宋_GB2312"/>
        </w:rPr>
      </w:pPr>
      <w:r>
        <w:rPr>
          <w:rFonts w:ascii="Times New Roman" w:hAnsi="Times New Roman" w:eastAsia="仿宋_GB2312"/>
        </w:rPr>
        <w:t>（九）法律、行政法规规定的其他情形。</w:t>
      </w:r>
    </w:p>
    <w:p>
      <w:pPr>
        <w:spacing w:line="600" w:lineRule="exact"/>
        <w:ind w:firstLine="640" w:firstLineChars="200"/>
        <w:rPr>
          <w:bCs/>
        </w:rPr>
      </w:pPr>
      <w:r>
        <w:rPr>
          <w:rFonts w:hint="eastAsia" w:eastAsia="黑体"/>
        </w:rPr>
        <w:t>第四十七条</w:t>
      </w:r>
      <w:r>
        <w:rPr>
          <w:rFonts w:hint="eastAsia"/>
          <w:bCs/>
        </w:rPr>
        <w:t xml:space="preserve">  培训机构终止时，应分别到主管部门、教育部门、登记（管理）机关</w:t>
      </w:r>
      <w:r>
        <w:rPr>
          <w:rFonts w:hint="eastAsia"/>
        </w:rPr>
        <w:t>办理注销手续。</w:t>
      </w:r>
      <w:r>
        <w:rPr>
          <w:rFonts w:hint="eastAsia"/>
          <w:bCs/>
        </w:rPr>
        <w:t>主管部门、教育部门、登记（管理）机关应收回批准文件、办学许可证、营业执照（</w:t>
      </w:r>
      <w:r>
        <w:rPr>
          <w:rFonts w:hint="eastAsia"/>
        </w:rPr>
        <w:t>民办非企业单位登记证书</w:t>
      </w:r>
      <w:r>
        <w:rPr>
          <w:rFonts w:hint="eastAsia"/>
          <w:bCs/>
        </w:rPr>
        <w:t>），办理注销登记和销毁公章（仅限民办非企业单位），并向社会公示。</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第九章  监督管理</w:t>
      </w:r>
    </w:p>
    <w:p>
      <w:pPr>
        <w:pStyle w:val="9"/>
        <w:spacing w:line="600" w:lineRule="exact"/>
        <w:ind w:firstLine="640" w:firstLineChars="200"/>
        <w:rPr>
          <w:rFonts w:ascii="Times New Roman" w:hAnsi="Times New Roman" w:eastAsia="仿宋_GB2312"/>
          <w:sz w:val="32"/>
          <w:szCs w:val="32"/>
          <w:shd w:val="clear" w:color="auto" w:fill="FFFFFF"/>
          <w:lang w:bidi="ar"/>
        </w:rPr>
      </w:pPr>
      <w:r>
        <w:rPr>
          <w:rFonts w:hint="eastAsia" w:ascii="Times New Roman" w:hAnsi="Times New Roman" w:eastAsia="黑体"/>
          <w:sz w:val="32"/>
          <w:szCs w:val="32"/>
        </w:rPr>
        <w:t>第四十八条</w:t>
      </w:r>
      <w:r>
        <w:rPr>
          <w:rFonts w:hint="eastAsia" w:ascii="Times New Roman" w:hAnsi="Times New Roman" w:eastAsia="仿宋_GB2312"/>
          <w:sz w:val="32"/>
          <w:szCs w:val="32"/>
          <w:shd w:val="clear" w:color="auto" w:fill="FFFFFF"/>
        </w:rPr>
        <w:t xml:space="preserve">  加强日常监管。市（州）文化和旅游、科技、体育部门要督促指导县（市、区）相关部门依法依规对培训机构进行设置审查，加强对培训机构办学行为的日常监督，防止重审批轻监管。同时应根据需要，联合多部门不定期开展</w:t>
      </w:r>
      <w:r>
        <w:rPr>
          <w:rFonts w:hint="eastAsia" w:ascii="Times New Roman" w:hAnsi="Times New Roman" w:eastAsia="仿宋_GB2312"/>
          <w:sz w:val="32"/>
          <w:szCs w:val="32"/>
          <w:shd w:val="clear" w:color="auto" w:fill="FFFFFF"/>
          <w:lang w:bidi="ar"/>
        </w:rPr>
        <w:t>培训机构专项治理工作。</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黑体"/>
          <w:sz w:val="32"/>
          <w:szCs w:val="32"/>
        </w:rPr>
        <w:t>第四十九条</w:t>
      </w:r>
      <w:r>
        <w:rPr>
          <w:rFonts w:hint="eastAsia" w:ascii="Times New Roman" w:hAnsi="Times New Roman" w:eastAsia="仿宋_GB2312"/>
          <w:sz w:val="32"/>
          <w:szCs w:val="32"/>
          <w:shd w:val="clear" w:color="auto" w:fill="FFFFFF"/>
        </w:rPr>
        <w:t xml:space="preserve">  严格年检年报。各主管部门和登记（管理）机关应当按照培训机构设置标准、审批条件、办学要求、行为规范和登记管理实施细则，认真组织开展年检和年度报告工作。对经年检和年报公示信息抽查检查发现培训机构隐瞒实情、弄虚作假、违法违规办学，或不接受年检、不报送年度报告的，应依法依规严肃处理。</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黑体"/>
          <w:sz w:val="32"/>
          <w:szCs w:val="32"/>
        </w:rPr>
        <w:t>第五十条</w:t>
      </w:r>
      <w:r>
        <w:rPr>
          <w:rFonts w:hint="eastAsia" w:ascii="Times New Roman" w:hAnsi="Times New Roman" w:eastAsia="仿宋_GB2312"/>
          <w:sz w:val="32"/>
          <w:szCs w:val="32"/>
          <w:shd w:val="clear" w:color="auto" w:fill="FFFFFF"/>
        </w:rPr>
        <w:t xml:space="preserve">  公布黑白名单。各级主管部门和登记（管理）机关应当建立完善黑白名单制度，对通过审批登记的，培训规范、信誉良好的培训机构建立白名单；对违法违规培训、声誉较差的培训机构建立黑名单，两个名单应动态管理并向社会公布。</w:t>
      </w:r>
    </w:p>
    <w:p>
      <w:pPr>
        <w:spacing w:line="600" w:lineRule="exact"/>
        <w:ind w:firstLine="640" w:firstLineChars="200"/>
        <w:rPr>
          <w:shd w:val="clear" w:color="auto" w:fill="FFFFFF"/>
        </w:rPr>
      </w:pPr>
      <w:r>
        <w:rPr>
          <w:rFonts w:hint="eastAsia" w:eastAsia="黑体"/>
        </w:rPr>
        <w:t>第五十一条</w:t>
      </w:r>
      <w:r>
        <w:rPr>
          <w:rFonts w:hint="eastAsia"/>
          <w:shd w:val="clear" w:color="auto" w:fill="FFFFFF"/>
        </w:rPr>
        <w:t xml:space="preserve">  严肃违规查处。各级主管部门和登记（管理）机关要</w:t>
      </w:r>
      <w:r>
        <w:rPr>
          <w:rFonts w:hint="eastAsia"/>
        </w:rPr>
        <w:t>严格查处各类</w:t>
      </w:r>
      <w:r>
        <w:rPr>
          <w:rFonts w:hint="eastAsia"/>
          <w:shd w:val="clear" w:color="auto" w:fill="FFFFFF"/>
        </w:rPr>
        <w:t>违法违规培训行为。对</w:t>
      </w:r>
      <w:r>
        <w:rPr>
          <w:rFonts w:hint="eastAsia"/>
        </w:rPr>
        <w:t>利用非法手段取得办学许可证或伪造、变造、买卖、出租、出借办学许可证的培训机构，以及</w:t>
      </w:r>
      <w:r>
        <w:rPr>
          <w:rFonts w:hint="eastAsia"/>
          <w:shd w:val="clear" w:color="auto" w:fill="FFFFFF"/>
        </w:rPr>
        <w:t>未经批准擅自经营的培训机构，主管部门应会同相关部门按照国家和省有关规定予以处罚。</w:t>
      </w:r>
    </w:p>
    <w:p>
      <w:pPr>
        <w:spacing w:line="600" w:lineRule="exact"/>
        <w:ind w:firstLine="640" w:firstLineChars="200"/>
      </w:pPr>
    </w:p>
    <w:p>
      <w:pPr>
        <w:spacing w:line="600" w:lineRule="exact"/>
        <w:jc w:val="center"/>
        <w:rPr>
          <w:rFonts w:ascii="黑体" w:hAnsi="黑体" w:eastAsia="黑体"/>
        </w:rPr>
      </w:pPr>
      <w:r>
        <w:rPr>
          <w:rFonts w:hint="eastAsia" w:ascii="黑体" w:hAnsi="黑体" w:eastAsia="黑体"/>
        </w:rPr>
        <w:t>第十章  附 则</w:t>
      </w:r>
    </w:p>
    <w:p>
      <w:pPr>
        <w:spacing w:line="600" w:lineRule="exact"/>
        <w:ind w:firstLine="640" w:firstLineChars="200"/>
      </w:pPr>
      <w:r>
        <w:rPr>
          <w:rFonts w:hint="eastAsia" w:eastAsia="黑体"/>
        </w:rPr>
        <w:t>第五十二条</w:t>
      </w:r>
      <w:r>
        <w:rPr>
          <w:rFonts w:hint="eastAsia"/>
        </w:rPr>
        <w:t xml:space="preserve">  本办法自2023年2月1日起试行，有效期2年。国家法律、法规和规章关于培训机构管理另有规定的，从其规定。</w:t>
      </w:r>
    </w:p>
    <w:p>
      <w:pPr>
        <w:spacing w:line="600" w:lineRule="exact"/>
        <w:ind w:firstLine="640" w:firstLineChars="200"/>
      </w:pPr>
      <w:r>
        <w:rPr>
          <w:rFonts w:hint="eastAsia" w:eastAsia="黑体"/>
        </w:rPr>
        <w:t>第五十三条</w:t>
      </w:r>
      <w:r>
        <w:rPr>
          <w:rFonts w:hint="eastAsia"/>
        </w:rPr>
        <w:t xml:space="preserve">  在本办法实施之前已设立的培训机构，须按照本办法要求实施之日起6个月内在平台进行重新核准登记。未按时核准登记或经核准认定达不到准入条件的，不得继续开展培训活动。</w:t>
      </w:r>
    </w:p>
    <w:p>
      <w:pPr>
        <w:spacing w:line="600" w:lineRule="exact"/>
        <w:ind w:firstLine="640" w:firstLineChars="200"/>
      </w:pPr>
      <w:r>
        <w:rPr>
          <w:rFonts w:hint="eastAsia" w:eastAsia="黑体"/>
        </w:rPr>
        <w:t>第五十四条</w:t>
      </w:r>
      <w:r>
        <w:rPr>
          <w:rFonts w:hint="eastAsia"/>
        </w:rPr>
        <w:t xml:space="preserve">  本办法不适用于各级文化和旅游、科技、体育等部门或工会、共青团、妇联、文联、作协、科协等群团组织所直属的事业单位面向青少年群体提供的教育培训服务。</w:t>
      </w:r>
    </w:p>
    <w:p>
      <w:pPr>
        <w:spacing w:line="600" w:lineRule="exact"/>
        <w:ind w:firstLine="640" w:firstLineChars="200"/>
      </w:pPr>
      <w:r>
        <w:rPr>
          <w:rFonts w:hint="eastAsia" w:eastAsia="黑体"/>
        </w:rPr>
        <w:t>第五十五条</w:t>
      </w:r>
      <w:r>
        <w:rPr>
          <w:rFonts w:hint="eastAsia"/>
        </w:rPr>
        <w:t xml:space="preserve">  各市（州）可根据实际情况，研究制定本行政区域培训机构管理的实施细则，具体标准和要求不得低于本办法。</w:t>
      </w:r>
    </w:p>
    <w:p>
      <w:pPr>
        <w:spacing w:line="600" w:lineRule="exact"/>
        <w:ind w:firstLine="640" w:firstLineChars="200"/>
        <w:sectPr>
          <w:footerReference r:id="rId4" w:type="default"/>
          <w:type w:val="continuous"/>
          <w:pgSz w:w="11906" w:h="16838"/>
          <w:pgMar w:top="2098" w:right="1474" w:bottom="1985" w:left="1588" w:header="1701" w:footer="1588" w:gutter="0"/>
          <w:cols w:space="425" w:num="1"/>
          <w:docGrid w:linePitch="435" w:charSpace="0"/>
        </w:sectPr>
      </w:pPr>
      <w:r>
        <w:rPr>
          <w:rFonts w:hint="eastAsia" w:eastAsia="黑体"/>
        </w:rPr>
        <w:t>第五十六条</w:t>
      </w:r>
      <w:r>
        <w:rPr>
          <w:rFonts w:hint="eastAsia"/>
        </w:rPr>
        <w:t xml:space="preserve">  本办法由四川省教育厅、四川省文化和旅游厅、四川省科技厅、四川省体育局、四川省民政厅、四川省市场监督管理局、四川省住房和城乡建设厅、四川省消防救援总队分别依据职责负责解释</w:t>
      </w:r>
      <w:r>
        <w:rPr>
          <w:rFonts w:hint="eastAsia"/>
          <w:shd w:val="clear" w:color="auto" w:fill="FFFFFF"/>
          <w:lang w:bidi="ar"/>
        </w:rPr>
        <w:t>，并督导落实</w:t>
      </w:r>
      <w:r>
        <w:rPr>
          <w:rFonts w:hint="eastAsia"/>
        </w:rPr>
        <w:t>。</w:t>
      </w:r>
    </w:p>
    <w:p>
      <w:pPr>
        <w:snapToGrid w:val="0"/>
        <w:spacing w:line="600" w:lineRule="exact"/>
        <w:textAlignment w:val="baseline"/>
        <w:rPr>
          <w:rFonts w:ascii="黑体" w:hAnsi="黑体" w:eastAsia="黑体"/>
        </w:rPr>
      </w:pPr>
      <w:r>
        <w:rPr>
          <w:rFonts w:ascii="黑体" w:hAnsi="黑体" w:eastAsia="黑体"/>
        </w:rPr>
        <w:t>附件</w:t>
      </w:r>
      <w:r>
        <w:rPr>
          <w:rFonts w:hint="eastAsia" w:ascii="黑体" w:hAnsi="黑体" w:eastAsia="黑体"/>
        </w:rPr>
        <w:t>2</w:t>
      </w:r>
    </w:p>
    <w:p>
      <w:pPr>
        <w:ind w:firstLine="640" w:firstLineChars="200"/>
        <w:rPr>
          <w:rFonts w:eastAsia="黑体"/>
        </w:rPr>
      </w:pPr>
    </w:p>
    <w:p>
      <w:pPr>
        <w:spacing w:line="800" w:lineRule="exact"/>
        <w:jc w:val="center"/>
        <w:rPr>
          <w:rFonts w:ascii="方正小标宋_GBK" w:eastAsia="方正小标宋_GBK"/>
          <w:sz w:val="44"/>
          <w:szCs w:val="44"/>
        </w:rPr>
      </w:pPr>
      <w:r>
        <w:rPr>
          <w:rFonts w:ascii="方正小标宋_GBK" w:eastAsia="方正小标宋_GBK"/>
          <w:sz w:val="44"/>
          <w:szCs w:val="44"/>
        </w:rPr>
        <w:t>四川省文化艺术类校外培训机构</w:t>
      </w:r>
    </w:p>
    <w:p>
      <w:pPr>
        <w:spacing w:line="800" w:lineRule="exact"/>
        <w:jc w:val="center"/>
        <w:rPr>
          <w:rFonts w:ascii="方正小标宋_GBK" w:eastAsia="方正小标宋_GBK"/>
          <w:sz w:val="44"/>
          <w:szCs w:val="44"/>
        </w:rPr>
      </w:pPr>
      <w:r>
        <w:rPr>
          <w:rFonts w:ascii="方正小标宋_GBK" w:eastAsia="方正小标宋_GBK"/>
          <w:sz w:val="44"/>
          <w:szCs w:val="44"/>
        </w:rPr>
        <w:t>设置标准</w:t>
      </w:r>
      <w:r>
        <w:rPr>
          <w:rFonts w:hint="eastAsia" w:ascii="方正小标宋_GBK" w:eastAsia="方正小标宋_GBK"/>
          <w:sz w:val="44"/>
          <w:szCs w:val="44"/>
        </w:rPr>
        <w:t>（试行）</w:t>
      </w:r>
    </w:p>
    <w:p>
      <w:pPr>
        <w:ind w:firstLine="640" w:firstLineChars="200"/>
      </w:pPr>
    </w:p>
    <w:p>
      <w:pPr>
        <w:spacing w:line="600" w:lineRule="exact"/>
        <w:ind w:firstLine="640" w:firstLineChars="200"/>
        <w:rPr>
          <w:rFonts w:ascii="黑体" w:hAnsi="黑体" w:eastAsia="黑体"/>
        </w:rPr>
      </w:pPr>
      <w:r>
        <w:rPr>
          <w:rFonts w:hint="eastAsia" w:ascii="黑体" w:hAnsi="黑体" w:eastAsia="黑体"/>
        </w:rPr>
        <w:t>一、适用范围</w:t>
      </w:r>
    </w:p>
    <w:p>
      <w:pPr>
        <w:spacing w:line="600" w:lineRule="exact"/>
        <w:ind w:firstLine="640" w:firstLineChars="200"/>
      </w:pPr>
      <w:r>
        <w:rPr>
          <w:rFonts w:hint="eastAsia"/>
        </w:rPr>
        <w:t>本标准所称文化艺术类校外培训机构（以下简称“艺术类培训机构”）是指在本省行政区域内，经文化和旅游部门审核同意、依法取得办学许可证后进行注册登记，由国家机构以外的社会组织或个人，利用非国家财政性经费，面向中小学校（园）学生开展，以传授和提升音乐、舞蹈、美术、书法、戏曲戏剧、曲艺、摄影摄像等文化艺术类技能为目的的非学历教育培训机构。</w:t>
      </w:r>
    </w:p>
    <w:p>
      <w:pPr>
        <w:spacing w:line="600" w:lineRule="exact"/>
        <w:ind w:firstLine="640" w:firstLineChars="200"/>
      </w:pPr>
      <w:r>
        <w:rPr>
          <w:rFonts w:hint="eastAsia"/>
        </w:rPr>
        <w:t>本规定所指中小学校（园）学生包括3—6岁学龄前儿童、义务教育阶段学生和高中阶段学生。</w:t>
      </w:r>
    </w:p>
    <w:p>
      <w:pPr>
        <w:spacing w:line="600" w:lineRule="exact"/>
        <w:ind w:firstLine="640" w:firstLineChars="200"/>
        <w:rPr>
          <w:rFonts w:ascii="黑体" w:hAnsi="黑体" w:eastAsia="黑体"/>
        </w:rPr>
      </w:pPr>
      <w:r>
        <w:rPr>
          <w:rFonts w:hint="eastAsia" w:ascii="黑体" w:hAnsi="黑体" w:eastAsia="黑体"/>
        </w:rPr>
        <w:t>二、设立原则</w:t>
      </w:r>
    </w:p>
    <w:p>
      <w:pPr>
        <w:spacing w:line="600" w:lineRule="exact"/>
        <w:ind w:firstLine="640" w:firstLineChars="200"/>
      </w:pPr>
      <w:r>
        <w:rPr>
          <w:rFonts w:hint="eastAsia"/>
        </w:rPr>
        <w:t>坚持育人为本。全面贯彻党的教育方针，培养学生人文素养和审美能力，促进学生全面发展。</w:t>
      </w:r>
    </w:p>
    <w:p>
      <w:pPr>
        <w:spacing w:line="600" w:lineRule="exact"/>
        <w:ind w:firstLine="640" w:firstLineChars="200"/>
      </w:pPr>
      <w:r>
        <w:rPr>
          <w:rFonts w:hint="eastAsia"/>
        </w:rPr>
        <w:t>坚持公益属性。始终把社会效益放在首位，防止过高收费和过度逐利行为。</w:t>
      </w:r>
    </w:p>
    <w:p>
      <w:pPr>
        <w:spacing w:line="600" w:lineRule="exact"/>
        <w:ind w:firstLine="640" w:firstLineChars="200"/>
      </w:pPr>
      <w:r>
        <w:rPr>
          <w:rFonts w:hint="eastAsia"/>
        </w:rPr>
        <w:t>坚持生命至上。坚守安全底线，切实保障师生安全，从源头上防范化解重大安全风险。</w:t>
      </w:r>
    </w:p>
    <w:p>
      <w:pPr>
        <w:spacing w:line="600" w:lineRule="exact"/>
        <w:ind w:firstLine="640" w:firstLineChars="200"/>
        <w:rPr>
          <w:rFonts w:ascii="黑体" w:hAnsi="黑体" w:eastAsia="黑体"/>
        </w:rPr>
      </w:pPr>
      <w:r>
        <w:rPr>
          <w:rFonts w:hint="eastAsia" w:ascii="黑体" w:hAnsi="黑体" w:eastAsia="黑体"/>
        </w:rPr>
        <w:t>三、举办者</w:t>
      </w:r>
    </w:p>
    <w:p>
      <w:pPr>
        <w:spacing w:line="600" w:lineRule="exact"/>
        <w:ind w:firstLine="640" w:firstLineChars="200"/>
      </w:pPr>
      <w:r>
        <w:rPr>
          <w:rFonts w:hint="eastAsia"/>
        </w:rPr>
        <w:t>（一）举办者是社会组织、企业的，应当具备下列条件：</w:t>
      </w:r>
    </w:p>
    <w:p>
      <w:pPr>
        <w:spacing w:line="600" w:lineRule="exact"/>
        <w:ind w:firstLine="640" w:firstLineChars="200"/>
      </w:pPr>
      <w:r>
        <w:rPr>
          <w:rFonts w:hint="eastAsia"/>
        </w:rPr>
        <w:t>1.具有中华人民共和国法人资格；</w:t>
      </w:r>
    </w:p>
    <w:p>
      <w:pPr>
        <w:spacing w:line="600" w:lineRule="exact"/>
        <w:ind w:firstLine="640" w:firstLineChars="200"/>
      </w:pPr>
      <w:r>
        <w:rPr>
          <w:rFonts w:hint="eastAsia"/>
        </w:rPr>
        <w:t>2.信用状况良好，无不良记录，未被列入经营异常名录或严重违法失信单位名单；</w:t>
      </w:r>
    </w:p>
    <w:p>
      <w:pPr>
        <w:spacing w:line="600" w:lineRule="exact"/>
        <w:ind w:firstLine="640" w:firstLineChars="200"/>
      </w:pPr>
      <w:r>
        <w:rPr>
          <w:rFonts w:hint="eastAsia"/>
        </w:rPr>
        <w:t>3.法定代表人具有中华人民共和国国籍，在中国境内定居，信用状况良好，无犯罪记录和教育、文化艺术领域不良从业记录，具有政治权利和完全民事行为能力；</w:t>
      </w:r>
    </w:p>
    <w:p>
      <w:pPr>
        <w:spacing w:line="600" w:lineRule="exact"/>
        <w:ind w:firstLine="640" w:firstLineChars="200"/>
      </w:pPr>
      <w:r>
        <w:rPr>
          <w:rFonts w:hint="eastAsia"/>
        </w:rPr>
        <w:t>4.无境外相关组织和资金背景。</w:t>
      </w:r>
    </w:p>
    <w:p>
      <w:pPr>
        <w:spacing w:line="600" w:lineRule="exact"/>
        <w:ind w:firstLine="640" w:firstLineChars="200"/>
      </w:pPr>
      <w:r>
        <w:rPr>
          <w:rFonts w:hint="eastAsia"/>
        </w:rPr>
        <w:t>（二）举办者是自然人的，应当具备下列条件：</w:t>
      </w:r>
    </w:p>
    <w:p>
      <w:pPr>
        <w:spacing w:line="600" w:lineRule="exact"/>
        <w:ind w:firstLine="640" w:firstLineChars="200"/>
      </w:pPr>
      <w:r>
        <w:rPr>
          <w:rFonts w:hint="eastAsia"/>
        </w:rPr>
        <w:t>1.具有中华人民共和国国籍，在中国境内定居；</w:t>
      </w:r>
    </w:p>
    <w:p>
      <w:pPr>
        <w:spacing w:line="600" w:lineRule="exact"/>
        <w:ind w:firstLine="640" w:firstLineChars="200"/>
      </w:pPr>
      <w:r>
        <w:rPr>
          <w:rFonts w:hint="eastAsia"/>
        </w:rPr>
        <w:t>2.信用状况良好，无犯罪记录和教育、文化艺术领域不良从业记录；</w:t>
      </w:r>
    </w:p>
    <w:p>
      <w:pPr>
        <w:spacing w:line="600" w:lineRule="exact"/>
        <w:ind w:firstLine="640" w:firstLineChars="200"/>
      </w:pPr>
      <w:r>
        <w:rPr>
          <w:rFonts w:hint="eastAsia"/>
        </w:rPr>
        <w:t>3.具有政治权利和完全民事行为能力。</w:t>
      </w:r>
    </w:p>
    <w:p>
      <w:pPr>
        <w:spacing w:line="600" w:lineRule="exact"/>
        <w:ind w:firstLine="640" w:firstLineChars="200"/>
      </w:pPr>
      <w:r>
        <w:rPr>
          <w:rFonts w:hint="eastAsia"/>
        </w:rPr>
        <w:t>（三）联合举办艺术类培训机构的，应当签订联合办学协议，明确合作方式、办学宗旨、培养目标以及各方权利义务和争议解决方式等。</w:t>
      </w:r>
    </w:p>
    <w:p>
      <w:pPr>
        <w:spacing w:line="600" w:lineRule="exact"/>
        <w:ind w:firstLine="640" w:firstLineChars="200"/>
      </w:pPr>
      <w:r>
        <w:rPr>
          <w:rFonts w:hint="eastAsia"/>
        </w:rPr>
        <w:t>（四）境外投资企业以及境外方为实际控制人的社会组织举办艺术类培训机构的，应符合我国有关法律、法规和规章的规定。</w:t>
      </w:r>
    </w:p>
    <w:p>
      <w:pPr>
        <w:spacing w:line="600" w:lineRule="exact"/>
        <w:ind w:firstLine="640" w:firstLineChars="200"/>
      </w:pPr>
      <w:r>
        <w:rPr>
          <w:rFonts w:hint="eastAsia"/>
        </w:rPr>
        <w:t>（五）中小学校（园）及其在职教职工不得举办或参与举办艺术类培训机构。</w:t>
      </w:r>
    </w:p>
    <w:p>
      <w:pPr>
        <w:spacing w:line="600" w:lineRule="exact"/>
        <w:ind w:firstLine="640" w:firstLineChars="200"/>
        <w:rPr>
          <w:rFonts w:ascii="黑体" w:hAnsi="黑体" w:eastAsia="黑体"/>
        </w:rPr>
      </w:pPr>
      <w:r>
        <w:rPr>
          <w:rFonts w:hint="eastAsia" w:ascii="黑体" w:hAnsi="黑体" w:eastAsia="黑体"/>
        </w:rPr>
        <w:t>四、名称与章程</w:t>
      </w:r>
    </w:p>
    <w:p>
      <w:pPr>
        <w:spacing w:line="600" w:lineRule="exact"/>
        <w:ind w:firstLine="640" w:firstLineChars="200"/>
      </w:pPr>
      <w:r>
        <w:rPr>
          <w:rFonts w:hint="eastAsia"/>
        </w:rPr>
        <w:t>（一）艺术类培训机构名称应当符合《企业名称登记管理规定》《民办非企业单位名称管理暂行规定》等国家行政法规及相关政策规定，载明“培训”字样。同一培训机构只能使用一个名称。</w:t>
      </w:r>
    </w:p>
    <w:p>
      <w:pPr>
        <w:spacing w:line="600" w:lineRule="exact"/>
        <w:ind w:firstLine="640" w:firstLineChars="200"/>
      </w:pPr>
      <w:r>
        <w:rPr>
          <w:rFonts w:hint="eastAsia"/>
        </w:rPr>
        <w:t>1.不得冠以“国际”“世界”“全球”“中国”“全国”“中华”“西南”等大区域字样；</w:t>
      </w:r>
    </w:p>
    <w:p>
      <w:pPr>
        <w:spacing w:line="600" w:lineRule="exact"/>
        <w:ind w:firstLine="640" w:firstLineChars="200"/>
      </w:pPr>
      <w:r>
        <w:rPr>
          <w:rFonts w:hint="eastAsia"/>
        </w:rPr>
        <w:t>2.不得包含中小学校（园）、大学名称或简称；</w:t>
      </w:r>
    </w:p>
    <w:p>
      <w:pPr>
        <w:spacing w:line="600" w:lineRule="exact"/>
        <w:ind w:firstLine="640" w:firstLineChars="200"/>
      </w:pPr>
      <w:r>
        <w:rPr>
          <w:rFonts w:hint="eastAsia"/>
        </w:rPr>
        <w:t>3.不得使用可能对公众造成误解、引发歧义的内容和文字；</w:t>
      </w:r>
    </w:p>
    <w:p>
      <w:pPr>
        <w:spacing w:line="600" w:lineRule="exact"/>
        <w:ind w:firstLine="640" w:firstLineChars="200"/>
      </w:pPr>
      <w:r>
        <w:rPr>
          <w:rFonts w:hint="eastAsia"/>
        </w:rPr>
        <w:t>4.不得利用中小学校（园）品牌开展商业活动；</w:t>
      </w:r>
    </w:p>
    <w:p>
      <w:pPr>
        <w:spacing w:line="600" w:lineRule="exact"/>
        <w:ind w:firstLine="640" w:firstLineChars="200"/>
      </w:pPr>
      <w:r>
        <w:rPr>
          <w:rFonts w:hint="eastAsia"/>
        </w:rPr>
        <w:t>5.对外使用的名称应与批准的名称一致。</w:t>
      </w:r>
    </w:p>
    <w:p>
      <w:pPr>
        <w:pStyle w:val="5"/>
        <w:spacing w:line="600" w:lineRule="exact"/>
        <w:ind w:firstLine="640"/>
        <w:rPr>
          <w:rFonts w:hint="default" w:ascii="Times New Roman" w:hAnsi="Times New Roman" w:eastAsia="仿宋_GB2312"/>
        </w:rPr>
      </w:pPr>
      <w:r>
        <w:rPr>
          <w:rFonts w:ascii="Times New Roman" w:hAnsi="Times New Roman" w:eastAsia="仿宋_GB2312"/>
        </w:rPr>
        <w:t>（二）艺术类培训机构应当依法制定章程。章程内容应符合 《中华人民共和国公司法》《民办非企业单位登记管理暂行条例》等法律、法规和规章规定。章程应当载明下列事项:</w:t>
      </w:r>
    </w:p>
    <w:p>
      <w:pPr>
        <w:spacing w:line="600" w:lineRule="exact"/>
        <w:ind w:firstLine="640" w:firstLineChars="200"/>
      </w:pPr>
      <w:r>
        <w:rPr>
          <w:rFonts w:hint="eastAsia"/>
        </w:rPr>
        <w:t>1.机构的名称、住所、办学地址、法人属性；</w:t>
      </w:r>
    </w:p>
    <w:p>
      <w:pPr>
        <w:spacing w:line="600" w:lineRule="exact"/>
        <w:ind w:firstLine="640" w:firstLineChars="200"/>
      </w:pPr>
      <w:r>
        <w:rPr>
          <w:rFonts w:hint="eastAsia"/>
        </w:rPr>
        <w:t>2.举办者的权利义务，举办者变更、权益转让的办法；</w:t>
      </w:r>
    </w:p>
    <w:p>
      <w:pPr>
        <w:spacing w:line="600" w:lineRule="exact"/>
        <w:ind w:firstLine="640" w:firstLineChars="200"/>
      </w:pPr>
      <w:r>
        <w:rPr>
          <w:rFonts w:hint="eastAsia"/>
        </w:rPr>
        <w:t>3.办学宗旨、发展定位、层次、类型、规模、形式等；</w:t>
      </w:r>
    </w:p>
    <w:p>
      <w:pPr>
        <w:spacing w:line="600" w:lineRule="exact"/>
        <w:ind w:firstLine="640" w:firstLineChars="200"/>
      </w:pPr>
      <w:r>
        <w:rPr>
          <w:rFonts w:hint="eastAsia"/>
        </w:rPr>
        <w:t>4.机构开办资金、资产的数额、来源、性质等以及财务制度；</w:t>
      </w:r>
    </w:p>
    <w:p>
      <w:pPr>
        <w:spacing w:line="600" w:lineRule="exact"/>
        <w:ind w:firstLine="640" w:firstLineChars="200"/>
      </w:pPr>
      <w:r>
        <w:rPr>
          <w:rFonts w:hint="eastAsia"/>
        </w:rPr>
        <w:t>5.理事会、董事会或者其他形式决策机构和监督机构的产生方法、人员构成、任期、议事规则等；</w:t>
      </w:r>
    </w:p>
    <w:p>
      <w:pPr>
        <w:spacing w:line="600" w:lineRule="exact"/>
        <w:ind w:firstLine="640" w:firstLineChars="200"/>
      </w:pPr>
      <w:r>
        <w:rPr>
          <w:rFonts w:hint="eastAsia"/>
        </w:rPr>
        <w:t>6.机构党的建设和党组织负责人或者代表进入决策机构和监督机构的程序；</w:t>
      </w:r>
    </w:p>
    <w:p>
      <w:pPr>
        <w:spacing w:line="600" w:lineRule="exact"/>
        <w:ind w:firstLine="640" w:firstLineChars="200"/>
      </w:pPr>
      <w:r>
        <w:rPr>
          <w:rFonts w:hint="eastAsia"/>
        </w:rPr>
        <w:t>7.法定代表人的产生及罢免程序；</w:t>
      </w:r>
    </w:p>
    <w:p>
      <w:pPr>
        <w:spacing w:line="600" w:lineRule="exact"/>
        <w:ind w:firstLine="640" w:firstLineChars="200"/>
      </w:pPr>
      <w:r>
        <w:rPr>
          <w:rFonts w:hint="eastAsia"/>
        </w:rPr>
        <w:t>8.机构自行终止的事由，剩余资产处置的办法与程序；</w:t>
      </w:r>
    </w:p>
    <w:p>
      <w:pPr>
        <w:spacing w:line="600" w:lineRule="exact"/>
        <w:ind w:firstLine="640" w:firstLineChars="200"/>
      </w:pPr>
      <w:r>
        <w:rPr>
          <w:rFonts w:hint="eastAsia"/>
        </w:rPr>
        <w:t>9.章程修改程序；</w:t>
      </w:r>
    </w:p>
    <w:p>
      <w:pPr>
        <w:spacing w:line="600" w:lineRule="exact"/>
        <w:ind w:firstLine="640" w:firstLineChars="200"/>
      </w:pPr>
      <w:r>
        <w:rPr>
          <w:rFonts w:hint="eastAsia"/>
        </w:rPr>
        <w:t>10.法律、法规和规章规定的其他事项。</w:t>
      </w:r>
    </w:p>
    <w:p>
      <w:pPr>
        <w:spacing w:line="600" w:lineRule="exact"/>
        <w:ind w:firstLine="640" w:firstLineChars="200"/>
      </w:pPr>
      <w:r>
        <w:rPr>
          <w:rFonts w:hint="eastAsia"/>
        </w:rPr>
        <w:t>（三）艺术类培训机构应当制定并完善教学管理制度、安全管理与卫生防疫制度、从业人员管理制度、学员管理制度、培训材料管理制度、档案管理制度、资产和财务管理制度、收费和退费管理制度、设施设备管理制度、教师培训和考核制度、课程备案和公示制度等规章制度。</w:t>
      </w:r>
    </w:p>
    <w:p>
      <w:pPr>
        <w:spacing w:line="600" w:lineRule="exact"/>
        <w:ind w:firstLine="640" w:firstLineChars="200"/>
        <w:rPr>
          <w:rFonts w:ascii="黑体" w:hAnsi="黑体" w:eastAsia="黑体"/>
        </w:rPr>
      </w:pPr>
      <w:r>
        <w:rPr>
          <w:rFonts w:hint="eastAsia" w:ascii="黑体" w:hAnsi="黑体" w:eastAsia="黑体"/>
        </w:rPr>
        <w:t>五、开办资金</w:t>
      </w:r>
    </w:p>
    <w:p>
      <w:pPr>
        <w:spacing w:line="600" w:lineRule="exact"/>
        <w:ind w:firstLine="640" w:firstLineChars="200"/>
      </w:pPr>
      <w:r>
        <w:rPr>
          <w:rFonts w:hint="eastAsia"/>
        </w:rPr>
        <w:t>（一）艺术类培训机构应当具有稳定的办学经费来源，开办资金（注册资本）应当与培训形式、培训项目、培训规模相适应，符合《中华人民共和国公司法》《民办非企业单位登记管理暂行条例》等相关法律法规要求。</w:t>
      </w:r>
    </w:p>
    <w:p>
      <w:pPr>
        <w:spacing w:line="600" w:lineRule="exact"/>
        <w:ind w:firstLine="640" w:firstLineChars="200"/>
      </w:pPr>
      <w:r>
        <w:rPr>
          <w:rFonts w:hint="eastAsia"/>
        </w:rPr>
        <w:t>（二）艺术类培训机构正式设立时，开办资金（注册资本）原则上不低于30万元人民币。以货币出资的，应当足额存入机构监管账户；以非货币财产出资的，应提供有资质机构出具的资产评估报告，且依法及时办理财产权转移手续。</w:t>
      </w:r>
    </w:p>
    <w:p>
      <w:pPr>
        <w:spacing w:line="600" w:lineRule="exact"/>
        <w:ind w:firstLine="640" w:firstLineChars="200"/>
      </w:pPr>
      <w:r>
        <w:rPr>
          <w:rFonts w:hint="eastAsia"/>
        </w:rPr>
        <w:t>（三）财政性经费不得作为举办者开办资金（注册资本）。以国有资产作为开办资金（注册资本）的，应当符合国有资产监督管理等相关规定。</w:t>
      </w:r>
    </w:p>
    <w:p>
      <w:pPr>
        <w:spacing w:line="600" w:lineRule="exact"/>
        <w:ind w:firstLine="640" w:firstLineChars="200"/>
        <w:rPr>
          <w:rFonts w:ascii="黑体" w:hAnsi="黑体" w:eastAsia="黑体"/>
        </w:rPr>
      </w:pPr>
      <w:r>
        <w:rPr>
          <w:rFonts w:hint="eastAsia" w:ascii="黑体" w:hAnsi="黑体" w:eastAsia="黑体"/>
        </w:rPr>
        <w:t>六、场地设施</w:t>
      </w:r>
    </w:p>
    <w:p>
      <w:pPr>
        <w:spacing w:line="600" w:lineRule="exact"/>
        <w:ind w:firstLine="640" w:firstLineChars="200"/>
      </w:pPr>
      <w:r>
        <w:rPr>
          <w:rFonts w:hint="eastAsia"/>
        </w:rPr>
        <w:t>（一）艺术类培训机构应当具有与培训项目、培训规模相适应的独立使用场所，并取得合法的产权或使用权。以租用场所开办的，应提供具有法律效力的租赁合同（协议），租赁合同（协议）中应明确双方消防安全责任，租赁期限自申请开办之日起不得少于2年。</w:t>
      </w:r>
    </w:p>
    <w:p>
      <w:pPr>
        <w:spacing w:line="600" w:lineRule="exact"/>
        <w:ind w:firstLine="640" w:firstLineChars="200"/>
      </w:pPr>
      <w:r>
        <w:rPr>
          <w:rFonts w:hint="eastAsia"/>
        </w:rPr>
        <w:t>（二）艺术类培训机构培训场所必须符合国家和省关于中小学消防、住建、环保、卫生等法律法规及政策规定，符合《教育部办公厅 应急管理部办公厅关于印发〈校外培训机构消防安全管理九项规定〉的通知》《四川省住房和城乡建设厅 四川省教育厅 四川省消防救援总队关于规范校外培训机构建设工程消防设计审查验收工作的通知》等要求，依法依规通过房屋安全鉴定，取得消防设计审查验收手续。培训机构不得擅自变更建筑用途和使用功能、擅自改变承重结构。不得使用工业厂房、居民住宅、简易建筑、临时建筑、危房、地下室、半地下室、仓库、车库、夹层、违章建筑及其他有安全隐患的场所，不得租用消防设计审查验收手续不全的场所，不得租赁或借用中小学校（园）校舍、场地办学，不得与不利于学生学习和身心健康以及危及学生安全的场所毗邻。用于3—6岁学龄前儿童培训的场所不得超过建筑物3层，用于小学生培训的场所不得超过建筑物4层，用于中学生培训的场所不得超过建筑物5层，并符合相关技术标准要求。</w:t>
      </w:r>
    </w:p>
    <w:p>
      <w:pPr>
        <w:spacing w:line="600" w:lineRule="exact"/>
        <w:ind w:firstLine="640" w:firstLineChars="200"/>
      </w:pPr>
      <w:r>
        <w:rPr>
          <w:rFonts w:hint="eastAsia"/>
        </w:rPr>
        <w:t>（三）艺术类培训机构的办学场所面积应当与培训内容和规模相适应。其中，培训场地面积应不少于办学场所总面积的2/3。美术类同一培训时段内生均面积不低于3平方米，音乐类、戏曲戏剧类、曲艺类同一培训时段内生均面积不低于4平方米，舞蹈类同一培训时段内生均面积不低于6平方米，确保保持合理间距，不拥挤、易疏散。</w:t>
      </w:r>
    </w:p>
    <w:p>
      <w:pPr>
        <w:spacing w:line="600" w:lineRule="exact"/>
        <w:ind w:firstLine="640" w:firstLineChars="200"/>
      </w:pPr>
      <w:r>
        <w:rPr>
          <w:rFonts w:hint="eastAsia"/>
        </w:rPr>
        <w:t>（四）艺术类培训机构应具有与培训类别、培训层次、培训项目和培训规模相适应的设施设备和器材等。培训教室设施设备要按照培训内容设计要求和《中小学校设计规范》进行建设，要按照采光和照明有关标准，落实好青少年近视防控要求。对于存在安全风险的设施设备，须做好防护措施，设立警示标牌，并制定应急预案，配备基本防护用品。设施设备存在噪音危害的，应采取有效的措施隔音降噪。</w:t>
      </w:r>
    </w:p>
    <w:p>
      <w:pPr>
        <w:spacing w:line="600" w:lineRule="exact"/>
        <w:ind w:firstLine="640" w:firstLineChars="200"/>
      </w:pPr>
      <w:r>
        <w:rPr>
          <w:rFonts w:hint="eastAsia"/>
        </w:rPr>
        <w:t>（五）艺术类培训机构办学场所必须达到中小学校（园）安全要求，建立“人防、物防、技防”三位一体的安全防范体系，场所应配备具有视音频监控功能的安全技术防范系统，确保教室、户外活动场地、活动室、出入口及周边等场所无死角，设置明显提示性标识，并应具备与公安机关、文化和旅游、教育等部门实时联网的接口，采获的视音频、出入记录等信息储存时间不得少于60日。各类安全制度、安全注意事项和特殊要求、平面示意图及疏散通道指示图等应悬挂在明显位置；设置醒目的安全指示标志，并确保安全疏散通道畅通。加强对从业人员进行设施操作、消防安全、应急救护等方面培训；制定事故应急处置预案并至少半年开展一次应急处置演练；通过为教员和学员购买人身安全保险等方式，防范和化解安全事故风险。</w:t>
      </w:r>
    </w:p>
    <w:p>
      <w:pPr>
        <w:spacing w:line="600" w:lineRule="exact"/>
        <w:ind w:firstLine="640" w:firstLineChars="200"/>
      </w:pPr>
      <w:r>
        <w:rPr>
          <w:rFonts w:hint="eastAsia"/>
        </w:rPr>
        <w:t>（六）艺术类培训机构办学场所必须达到当地防疫部门的防疫要求，落实疫情防控主体责任，落实培训场所各项防控措施，做好教室等重点场所卫生防疫管理，保障教员和学员身体健康。</w:t>
      </w:r>
    </w:p>
    <w:p>
      <w:pPr>
        <w:spacing w:line="600" w:lineRule="exact"/>
        <w:ind w:firstLine="640" w:firstLineChars="200"/>
        <w:rPr>
          <w:rFonts w:ascii="黑体" w:hAnsi="黑体" w:eastAsia="黑体"/>
        </w:rPr>
      </w:pPr>
      <w:r>
        <w:rPr>
          <w:rFonts w:hint="eastAsia" w:ascii="黑体" w:hAnsi="黑体" w:eastAsia="黑体"/>
        </w:rPr>
        <w:t>七、从业人员</w:t>
      </w:r>
    </w:p>
    <w:p>
      <w:pPr>
        <w:spacing w:line="600" w:lineRule="exact"/>
        <w:ind w:firstLine="640" w:firstLineChars="200"/>
      </w:pPr>
      <w:r>
        <w:rPr>
          <w:rFonts w:hint="eastAsia"/>
        </w:rPr>
        <w:t>（一）艺术类培训机构从业人员必须遵守宪法和法律、热爱教育事业、具有良好思想品德和职业道德、具备相应培训能力、能熟练使用国家通用语言文字教学、身心健康，实名上岗。</w:t>
      </w:r>
    </w:p>
    <w:p>
      <w:pPr>
        <w:spacing w:line="600" w:lineRule="exact"/>
        <w:ind w:firstLine="640" w:firstLineChars="200"/>
      </w:pPr>
      <w:r>
        <w:rPr>
          <w:rFonts w:hint="eastAsia"/>
        </w:rPr>
        <w:t>（二）艺术类培训机构聘用教学人员应符合以下条件之一：</w:t>
      </w:r>
    </w:p>
    <w:p>
      <w:pPr>
        <w:spacing w:line="600" w:lineRule="exact"/>
        <w:ind w:firstLine="640" w:firstLineChars="200"/>
      </w:pPr>
      <w:r>
        <w:rPr>
          <w:rFonts w:hint="eastAsia"/>
        </w:rPr>
        <w:t>1.具有文化艺术类相关专业大学专科以上学历；</w:t>
      </w:r>
    </w:p>
    <w:p>
      <w:pPr>
        <w:spacing w:line="600" w:lineRule="exact"/>
        <w:ind w:firstLine="640" w:firstLineChars="200"/>
      </w:pPr>
      <w:r>
        <w:rPr>
          <w:rFonts w:hint="eastAsia"/>
        </w:rPr>
        <w:t>2.具有与培训项目对应的教师资格证；</w:t>
      </w:r>
    </w:p>
    <w:p>
      <w:pPr>
        <w:spacing w:line="600" w:lineRule="exact"/>
        <w:ind w:firstLine="640" w:firstLineChars="200"/>
      </w:pPr>
      <w:r>
        <w:rPr>
          <w:rFonts w:hint="eastAsia"/>
        </w:rPr>
        <w:t>3.具有中级及以上文化艺术相关专业职称；</w:t>
      </w:r>
    </w:p>
    <w:p>
      <w:pPr>
        <w:spacing w:line="600" w:lineRule="exact"/>
        <w:ind w:firstLine="640" w:firstLineChars="200"/>
      </w:pPr>
      <w:r>
        <w:rPr>
          <w:rFonts w:hint="eastAsia"/>
        </w:rPr>
        <w:t>4.具有经人力资源和社会保障部确定的人才评价机构颁发的文化艺术职业技能等级证书；</w:t>
      </w:r>
    </w:p>
    <w:p>
      <w:pPr>
        <w:spacing w:line="600" w:lineRule="exact"/>
        <w:ind w:firstLine="640" w:firstLineChars="200"/>
      </w:pPr>
      <w:r>
        <w:rPr>
          <w:rFonts w:hint="eastAsia"/>
        </w:rPr>
        <w:t>5.具有经省级（含）以上文化艺术行政部门认定的相关证书。</w:t>
      </w:r>
    </w:p>
    <w:p>
      <w:pPr>
        <w:spacing w:line="600" w:lineRule="exact"/>
        <w:ind w:firstLine="640" w:firstLineChars="200"/>
      </w:pPr>
      <w:r>
        <w:rPr>
          <w:rFonts w:hint="eastAsia"/>
        </w:rPr>
        <w:t>（三）艺术类培训机构应根据培训内容及规模配备具有相应任职资格和任职条件的专兼职教师。其中专职教学、教研人员原则上不低于机构从业人员总数的50%。同一培训时段内师生比不低于1:20，单个培训场所的专职教学人员不得少于3人，且每个科目要有1名以上的专职教学人员。</w:t>
      </w:r>
    </w:p>
    <w:p>
      <w:pPr>
        <w:spacing w:line="600" w:lineRule="exact"/>
        <w:ind w:firstLine="640" w:firstLineChars="200"/>
      </w:pPr>
      <w:r>
        <w:rPr>
          <w:rFonts w:hint="eastAsia"/>
        </w:rPr>
        <w:t>（四）艺术类培训机构不得聘用下列人员：</w:t>
      </w:r>
    </w:p>
    <w:p>
      <w:pPr>
        <w:spacing w:line="600" w:lineRule="exact"/>
        <w:ind w:firstLine="640" w:firstLineChars="200"/>
      </w:pPr>
      <w:r>
        <w:rPr>
          <w:rFonts w:hint="eastAsia"/>
        </w:rPr>
        <w:t>1.中小学校（园）在职教职工；</w:t>
      </w:r>
    </w:p>
    <w:p>
      <w:pPr>
        <w:spacing w:line="600" w:lineRule="exact"/>
        <w:ind w:firstLine="640" w:firstLineChars="200"/>
      </w:pPr>
      <w:r>
        <w:rPr>
          <w:rFonts w:hint="eastAsia"/>
        </w:rPr>
        <w:t>2.纳入“校外培训机构从业人员黑名单”管理的人员；</w:t>
      </w:r>
    </w:p>
    <w:p>
      <w:pPr>
        <w:spacing w:line="600" w:lineRule="exact"/>
        <w:ind w:firstLine="640" w:firstLineChars="200"/>
      </w:pPr>
      <w:r>
        <w:rPr>
          <w:rFonts w:hint="eastAsia"/>
        </w:rPr>
        <w:t>3.受到剥夺政治权利或者故意犯罪受到有期徒刑以上刑事处罚的人员；</w:t>
      </w:r>
    </w:p>
    <w:p>
      <w:pPr>
        <w:pStyle w:val="2"/>
        <w:spacing w:before="0" w:line="600" w:lineRule="exact"/>
        <w:ind w:left="0" w:firstLine="640" w:firstLineChars="200"/>
        <w:rPr>
          <w:rFonts w:ascii="Times New Roman" w:hAnsi="Times New Roman" w:eastAsia="仿宋_GB2312" w:cs="Times New Roman"/>
          <w:b w:val="0"/>
          <w:bCs w:val="0"/>
        </w:rPr>
      </w:pPr>
      <w:r>
        <w:rPr>
          <w:rFonts w:hint="eastAsia" w:ascii="Times New Roman" w:hAnsi="Times New Roman" w:eastAsia="仿宋_GB2312" w:cs="Times New Roman"/>
          <w:b w:val="0"/>
          <w:bCs w:val="0"/>
        </w:rPr>
        <w:t>4.因危害未成年人的违法犯罪行为受到治安管理处罚或者管制、拘役等刑事处罚的人员；</w:t>
      </w:r>
    </w:p>
    <w:p>
      <w:pPr>
        <w:spacing w:line="600" w:lineRule="exact"/>
        <w:ind w:firstLine="640" w:firstLineChars="200"/>
      </w:pPr>
      <w:r>
        <w:rPr>
          <w:rFonts w:hint="eastAsia"/>
        </w:rPr>
        <w:t>5.其他不适宜在培训机构工作的人员。</w:t>
      </w:r>
    </w:p>
    <w:p>
      <w:pPr>
        <w:spacing w:line="600" w:lineRule="exact"/>
        <w:ind w:firstLine="640" w:firstLineChars="200"/>
      </w:pPr>
      <w:r>
        <w:rPr>
          <w:rFonts w:hint="eastAsia"/>
        </w:rPr>
        <w:t>（五）艺术类培训机构应配备具有专业能力的财务人员，会计和出纳不得兼任。按照相关规定配备安全管理人员，履行安全管理职责，落实安全防范措施。</w:t>
      </w:r>
    </w:p>
    <w:p>
      <w:pPr>
        <w:spacing w:line="600" w:lineRule="exact"/>
        <w:ind w:firstLine="640" w:firstLineChars="200"/>
      </w:pPr>
      <w:r>
        <w:rPr>
          <w:rFonts w:hint="eastAsia"/>
        </w:rPr>
        <w:t>（六）艺术类培训机构应对拟招用人员和劳务派遣单位拟派遣至机构场所工作的人员进行性侵等违法犯罪信息查询，建立教员电子档案，实行实名制管理。教学、教研人员的基本信息（姓名、照片等）、教师资格、从教经历、任教课程、课程收费等信息应在机构培训场所及“四川省校外培训机构信息管理平台”（以下简称“平台”）、官方网站显著位置公示；其他从业人员信息应在机构内部进行公示。</w:t>
      </w:r>
    </w:p>
    <w:p>
      <w:pPr>
        <w:spacing w:line="600" w:lineRule="exact"/>
        <w:ind w:firstLine="640" w:firstLineChars="200"/>
      </w:pPr>
      <w:r>
        <w:rPr>
          <w:rFonts w:hint="eastAsia"/>
        </w:rPr>
        <w:t>（七）艺术类培训机构应当与所聘人员依法签订聘用合同、劳动合同或劳务协议。依法保障教职工的工资、福利待遇和其他合法权益，为教职工缴纳符合相关规定的各项社会保险，保障其工资福利待遇和其他合法权益。对初次招用人员，应当开展岗位培训</w:t>
      </w:r>
      <w:r>
        <w:t>并取得合格证明</w:t>
      </w:r>
      <w:r>
        <w:rPr>
          <w:rFonts w:hint="eastAsia"/>
        </w:rPr>
        <w:t>。</w:t>
      </w:r>
    </w:p>
    <w:p>
      <w:pPr>
        <w:pStyle w:val="5"/>
        <w:spacing w:line="600" w:lineRule="exact"/>
        <w:ind w:firstLine="640"/>
        <w:rPr>
          <w:rFonts w:hint="default" w:ascii="黑体" w:hAnsi="黑体" w:eastAsia="黑体"/>
        </w:rPr>
      </w:pPr>
      <w:r>
        <w:rPr>
          <w:rFonts w:ascii="黑体" w:hAnsi="黑体" w:eastAsia="黑体"/>
        </w:rPr>
        <w:t>八、组织机构</w:t>
      </w:r>
    </w:p>
    <w:p>
      <w:pPr>
        <w:spacing w:line="600" w:lineRule="exact"/>
        <w:ind w:firstLine="640" w:firstLineChars="200"/>
      </w:pPr>
      <w:r>
        <w:rPr>
          <w:rFonts w:hint="eastAsia" w:ascii="楷体_GB2312" w:eastAsia="楷体_GB2312"/>
        </w:rPr>
        <w:t>（一）决策机构。</w:t>
      </w:r>
      <w:r>
        <w:rPr>
          <w:rFonts w:hint="eastAsia"/>
        </w:rPr>
        <w:t>艺术类培训机构应当依法设立决策机构，由举办者或者其代表、党组织负责人、行政负责人、教职工代表等人员组成。三分之一以上的决策机构成员应当具有5年以上教育教学经验。有犯罪记录和教育、文化艺术领域不良从业记录者不得在决策机构任职。</w:t>
      </w:r>
    </w:p>
    <w:p>
      <w:pPr>
        <w:spacing w:line="600" w:lineRule="exact"/>
        <w:ind w:firstLine="640" w:firstLineChars="200"/>
      </w:pPr>
      <w:r>
        <w:rPr>
          <w:rFonts w:hint="eastAsia" w:ascii="楷体_GB2312" w:eastAsia="楷体_GB2312"/>
        </w:rPr>
        <w:t>（二）监督机构。</w:t>
      </w:r>
      <w:r>
        <w:rPr>
          <w:rFonts w:hint="eastAsia"/>
        </w:rPr>
        <w:t>艺术类培训机构应当建立监督机构，依法行使监督职权。监督机构应当有党的基层组织代表，且教职工代表不少于1/3。教职工人数少于20人的可以只设1至2名监事。决策机构组成人员及其近亲属、财务负责人不得兼任、担任监督机构成员或者监事。</w:t>
      </w:r>
    </w:p>
    <w:p>
      <w:pPr>
        <w:spacing w:line="600" w:lineRule="exact"/>
        <w:ind w:firstLine="640" w:firstLineChars="200"/>
      </w:pPr>
      <w:r>
        <w:rPr>
          <w:rFonts w:hint="eastAsia" w:ascii="楷体_GB2312" w:eastAsia="楷体_GB2312"/>
        </w:rPr>
        <w:t>（三）行政负责人。</w:t>
      </w:r>
      <w:r>
        <w:rPr>
          <w:rFonts w:hint="eastAsia"/>
        </w:rPr>
        <w:t>艺术类培训机构行政负责人，应当具有中华人民共和国国籍，在中华人民共和国境内定居，具有政治权利和完全民事行为能力，大学专科及以上学历，具有3年以上教育从业管理经验和良好业绩，无犯罪记录和教育、文化艺术领域不良从业记录，身体健康，年龄不超过70周岁。</w:t>
      </w:r>
    </w:p>
    <w:p>
      <w:pPr>
        <w:spacing w:line="600" w:lineRule="exact"/>
        <w:ind w:firstLine="640" w:firstLineChars="200"/>
      </w:pPr>
      <w:r>
        <w:rPr>
          <w:rFonts w:hint="eastAsia" w:ascii="楷体_GB2312" w:eastAsia="楷体_GB2312"/>
        </w:rPr>
        <w:t>（四）法定代表人。</w:t>
      </w:r>
      <w:r>
        <w:rPr>
          <w:rFonts w:hint="eastAsia"/>
        </w:rPr>
        <w:t>艺术类培训机构的法定代表人应当依照法律、法规、规章及机构章程的规定，由决策机构负责人或者行政负责人担任。</w:t>
      </w:r>
    </w:p>
    <w:p>
      <w:pPr>
        <w:spacing w:line="600" w:lineRule="exact"/>
        <w:ind w:firstLine="640" w:firstLineChars="200"/>
        <w:rPr>
          <w:rFonts w:ascii="黑体" w:hAnsi="黑体" w:eastAsia="黑体"/>
        </w:rPr>
      </w:pPr>
      <w:r>
        <w:rPr>
          <w:rFonts w:hint="eastAsia" w:ascii="黑体" w:hAnsi="黑体" w:eastAsia="黑体"/>
        </w:rPr>
        <w:t>九、党的建设</w:t>
      </w:r>
    </w:p>
    <w:p>
      <w:pPr>
        <w:spacing w:line="600" w:lineRule="exact"/>
        <w:ind w:firstLine="640" w:firstLineChars="200"/>
      </w:pPr>
      <w:r>
        <w:rPr>
          <w:rFonts w:hint="eastAsia"/>
        </w:rPr>
        <w:t>（一）艺术类培训机构必须按照《中国共产党章程》《中国共产党组织工作条例》规定建立中国共产党的基层组织。凡有3名以上正式党员的，均应单独建立党组织。对不具备单独建立党组织条件的培训机构，可采取联合组建、挂靠组建、选派党建指导员、联络员等途径开展党的工作，条件成熟时及时建立党组织。</w:t>
      </w:r>
    </w:p>
    <w:p>
      <w:pPr>
        <w:spacing w:line="600" w:lineRule="exact"/>
        <w:ind w:firstLine="640" w:firstLineChars="200"/>
      </w:pPr>
      <w:r>
        <w:rPr>
          <w:rFonts w:hint="eastAsia"/>
        </w:rPr>
        <w:t>（二）按照“谁主管、谁审批、谁负责”的原则，明确培训机构党组织的隶属关系。把党的建设有关内容写入培训机构章程，审批时对章程中党的建设有关内容严格把关。</w:t>
      </w:r>
    </w:p>
    <w:p>
      <w:pPr>
        <w:spacing w:line="600" w:lineRule="exact"/>
        <w:ind w:firstLine="640" w:firstLineChars="200"/>
      </w:pPr>
      <w:r>
        <w:rPr>
          <w:rFonts w:hint="eastAsia"/>
        </w:rPr>
        <w:t>（三）推进机构党组织班子与决策层、管理层“双向进入、交叉任职”，保证党组织在重大事项决策、监督、执行各环节有效发挥作用。</w:t>
      </w:r>
    </w:p>
    <w:p>
      <w:pPr>
        <w:spacing w:line="600" w:lineRule="exact"/>
        <w:ind w:firstLine="640" w:firstLineChars="200"/>
        <w:rPr>
          <w:rFonts w:ascii="黑体" w:hAnsi="黑体" w:eastAsia="黑体"/>
        </w:rPr>
      </w:pPr>
      <w:r>
        <w:rPr>
          <w:rFonts w:hint="eastAsia" w:ascii="黑体" w:hAnsi="黑体" w:eastAsia="黑体"/>
        </w:rPr>
        <w:t>十、课程要求</w:t>
      </w:r>
    </w:p>
    <w:p>
      <w:pPr>
        <w:spacing w:line="600" w:lineRule="exact"/>
        <w:ind w:firstLine="640" w:firstLineChars="200"/>
        <w:rPr>
          <w:shd w:val="clear" w:color="auto" w:fill="FFFFFF"/>
        </w:rPr>
      </w:pPr>
      <w:r>
        <w:rPr>
          <w:rFonts w:hint="eastAsia"/>
        </w:rPr>
        <w:t>（一）艺术类培训机构应落实自主管理责任，严格按照教育部办公厅发布的《义务教育阶段校外培训项目分类鉴别指南》规定，自觉按照“非学科类”的相关管理要求，规范开展培训活动，不得出现名不符实的情况，不得开展或变相开展学科类培训活动。</w:t>
      </w:r>
    </w:p>
    <w:p>
      <w:pPr>
        <w:spacing w:line="600" w:lineRule="exact"/>
        <w:ind w:firstLine="640" w:firstLineChars="200"/>
      </w:pPr>
      <w:r>
        <w:rPr>
          <w:rFonts w:hint="eastAsia"/>
        </w:rPr>
        <w:t>（二）艺术类培训机构开展的培训项目，应当符合国家及本省有关规定，具有明确的培训宗旨、培养目标和培训内容，制定与培训项目相对应的培训计划，课程安排和教学内容必须符合党的教育方针和立德树人根本要求，</w:t>
      </w:r>
      <w:r>
        <w:rPr>
          <w:rFonts w:hint="eastAsia"/>
          <w:shd w:val="clear" w:color="auto" w:fill="FFFFFF"/>
        </w:rPr>
        <w:t>弘扬社会主义核心价值观，不得开设易燃易爆、低俗有害、盗版侵权等危害人身安全、社会公共安全以及违背公序良俗的课程内容，不得开设文化艺术类以外的课程内容，不得宣扬宗教、伪科学、封建迷信等内容</w:t>
      </w:r>
      <w:r>
        <w:rPr>
          <w:rFonts w:hint="eastAsia"/>
        </w:rPr>
        <w:t>。培训过程应全程录音录像，采获的视音频信息储存时间不得少于60日。</w:t>
      </w:r>
    </w:p>
    <w:p>
      <w:pPr>
        <w:spacing w:line="600" w:lineRule="exact"/>
        <w:ind w:firstLine="640" w:firstLineChars="200"/>
        <w:rPr>
          <w:shd w:val="clear" w:color="auto" w:fill="FFFFFF"/>
        </w:rPr>
      </w:pPr>
      <w:r>
        <w:rPr>
          <w:rFonts w:hint="eastAsia"/>
        </w:rPr>
        <w:t>（三）</w:t>
      </w:r>
      <w:r>
        <w:rPr>
          <w:rFonts w:hint="eastAsia"/>
          <w:shd w:val="clear" w:color="auto" w:fill="FFFFFF"/>
        </w:rPr>
        <w:t>艺术类培训机构应严格执行《中小学生校外培训材料管理办法（试行）》，建立培训材料编写研发、审核、选用使用及人员资质审查等内部管理制度，明确责任部门、责任人、工作职责、标准、流程以及责任追究办法。培训机构应当对培训内容的合法性、合规性、安全性作出书面承诺并自觉接受行政管理部门和社会的监督。所有培训材料应存档保管、备查，保管期限不少于相应培训材料使用完毕后3年。</w:t>
      </w:r>
    </w:p>
    <w:p>
      <w:pPr>
        <w:spacing w:line="600" w:lineRule="exact"/>
        <w:ind w:firstLine="640" w:firstLineChars="200"/>
        <w:rPr>
          <w:rFonts w:ascii="黑体" w:hAnsi="黑体" w:eastAsia="黑体"/>
        </w:rPr>
      </w:pPr>
      <w:r>
        <w:rPr>
          <w:rFonts w:hint="eastAsia" w:ascii="黑体" w:hAnsi="黑体" w:eastAsia="黑体"/>
        </w:rPr>
        <w:t>十一、培训收费</w:t>
      </w:r>
    </w:p>
    <w:p>
      <w:pPr>
        <w:spacing w:line="600" w:lineRule="exact"/>
        <w:ind w:firstLine="640" w:firstLineChars="200"/>
        <w:rPr>
          <w:shd w:val="clear" w:color="auto" w:fill="FFFFFF"/>
        </w:rPr>
      </w:pPr>
      <w:r>
        <w:rPr>
          <w:rFonts w:hint="eastAsia"/>
          <w:shd w:val="clear" w:color="auto" w:fill="FFFFFF"/>
        </w:rPr>
        <w:t>（一）艺术类培训机构收费应当遵循公平、合法、诚实信用的原则，根据培训成本、市场需求等因素合理确定培训收费项目和标准，实行明码标价，不得过度逐利。培训内容、培训时长、收费项目与标准、预收费监管账户等信息应当在办学场所、官方网站等显著位置进行公示，接受监督。</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（二）艺术类培训机构应当全面使用教育部、市场监管总局印发的《中小学生校外培训服务合同（示范文本）》</w:t>
      </w:r>
      <w:r>
        <w:rPr>
          <w:rFonts w:hint="eastAsia" w:ascii="Times New Roman" w:hAnsi="Times New Roman" w:eastAsia="仿宋_GB2312"/>
          <w:sz w:val="32"/>
          <w:szCs w:val="32"/>
        </w:rPr>
        <w:t>，严禁利用不公平格式条款侵害学生合法权益</w:t>
      </w:r>
      <w:r>
        <w:rPr>
          <w:rFonts w:hint="eastAsia" w:ascii="Times New Roman" w:hAnsi="Times New Roman" w:eastAsia="仿宋_GB2312"/>
          <w:sz w:val="32"/>
          <w:szCs w:val="32"/>
          <w:shd w:val="clear" w:color="auto" w:fill="FFFFFF"/>
        </w:rPr>
        <w:t>。自觉规范收费行为，禁止以虚构原价、虚假折扣、虚假宣传等方式开展经营活动。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（三）艺术类培训机构</w:t>
      </w:r>
      <w:r>
        <w:rPr>
          <w:rFonts w:hint="eastAsia" w:ascii="Times New Roman" w:hAnsi="Times New Roman" w:eastAsia="仿宋_GB2312"/>
          <w:sz w:val="32"/>
          <w:szCs w:val="32"/>
        </w:rPr>
        <w:t>应在符合条件的金融机构开设预收费监管账户并与平台联通，</w:t>
      </w:r>
      <w:r>
        <w:rPr>
          <w:rFonts w:hint="eastAsia" w:ascii="Times New Roman" w:hAnsi="Times New Roman" w:eastAsia="仿宋_GB2312"/>
          <w:bCs/>
          <w:sz w:val="32"/>
          <w:szCs w:val="32"/>
        </w:rPr>
        <w:t>通过平台上架、售卖课程、收退费用。</w:t>
      </w:r>
      <w:r>
        <w:rPr>
          <w:rFonts w:hint="eastAsia" w:ascii="Times New Roman" w:hAnsi="Times New Roman" w:eastAsia="仿宋_GB2312"/>
          <w:sz w:val="32"/>
          <w:szCs w:val="32"/>
          <w:shd w:val="clear" w:color="auto" w:fill="FFFFFF"/>
        </w:rPr>
        <w:t>收取的培训预收费应全部进入预收费监管账户，</w:t>
      </w:r>
      <w:r>
        <w:rPr>
          <w:rFonts w:hint="eastAsia" w:ascii="Times New Roman" w:hAnsi="Times New Roman" w:eastAsia="仿宋_GB2312"/>
          <w:bCs/>
          <w:sz w:val="32"/>
          <w:szCs w:val="32"/>
        </w:rPr>
        <w:t>不得采取变通手段绕开平台，私下诱导家长进行交易，</w:t>
      </w:r>
      <w:r>
        <w:rPr>
          <w:rFonts w:hint="eastAsia" w:ascii="Times New Roman" w:hAnsi="Times New Roman" w:eastAsia="仿宋_GB2312"/>
          <w:sz w:val="32"/>
          <w:szCs w:val="32"/>
          <w:shd w:val="clear" w:color="auto" w:fill="FFFFFF"/>
        </w:rPr>
        <w:t>不得使用“培训贷”方式收取培训费用，不得强制、诱导学员使用消费贷款，收取培训费用时不得捆绑贷款、保险等金融产品或者服务，不得一次性收取或以充值、次卡等形式变相收取时间跨度超过3个月或60课时的费用，且不得超过5000元。依法履行纳税义务，按照国家有关规定开具发票，开具发票时发票内容应按照实际销售情况如实开具，不得填开与实际销售情况不符的内容，不得以收款收据等“白条”代替发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（四）艺术类培训机构在学生缴费时应将有关退费办法向缴费者进行说明和公示，未完成的培训课程，应严格按相关政策规定及双方合同约定及时办理退费。</w:t>
      </w:r>
    </w:p>
    <w:p>
      <w:pPr>
        <w:spacing w:line="600" w:lineRule="exact"/>
        <w:ind w:firstLine="640" w:firstLineChars="200"/>
        <w:rPr>
          <w:rFonts w:ascii="黑体" w:hAnsi="黑体" w:eastAsia="黑体"/>
        </w:rPr>
      </w:pPr>
      <w:r>
        <w:rPr>
          <w:rFonts w:hint="eastAsia" w:ascii="黑体" w:hAnsi="黑体" w:eastAsia="黑体"/>
          <w:shd w:val="clear" w:color="auto" w:fill="FFFFFF"/>
        </w:rPr>
        <w:t>十二、附则</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一）不得开展面向学龄前儿童的线上培训，不再审批新的面向学龄前儿童的艺术类培训机构。在本标准实施前已设立的艺术类培训机构，须按照本标准要求实施之日起6个月内在平台重新进行核准。未按时核准登记或经核准认定达不到准入条件的，不得继续开展培训活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（二）文化和旅游部门应当加强艺术类培训机构的日常管理。独立或会同有关部门依法开展日常检查、随机抽查、专项检查和年度检查等。</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（三）各市（州）文化和旅游部门应按照本标准规定的要求和当地实际，研究制订本地艺术类培训机构准入的具体设置细则。</w:t>
      </w:r>
    </w:p>
    <w:p>
      <w:pPr>
        <w:spacing w:line="600" w:lineRule="exact"/>
        <w:ind w:firstLine="640" w:firstLineChars="200"/>
        <w:rPr>
          <w:shd w:val="clear" w:color="auto" w:fill="FFFFFF"/>
        </w:rPr>
      </w:pPr>
      <w:r>
        <w:rPr>
          <w:rFonts w:hint="eastAsia"/>
          <w:shd w:val="clear" w:color="auto" w:fill="FFFFFF"/>
        </w:rPr>
        <w:t>（四）本标准自2023年2月1日起试行。国家法律、法规和规章关于培训机构设置另有新规的，从其规定。</w:t>
      </w:r>
    </w:p>
    <w:p>
      <w:pPr>
        <w:spacing w:line="600" w:lineRule="exact"/>
        <w:ind w:firstLine="640" w:firstLineChars="200"/>
        <w:rPr>
          <w:rFonts w:ascii="仿宋_GB2312" w:cs="仿宋_GB2312"/>
          <w:shd w:val="clear" w:color="auto" w:fill="FFFFFF"/>
        </w:rPr>
      </w:pPr>
      <w:r>
        <w:rPr>
          <w:rFonts w:hint="eastAsia"/>
          <w:shd w:val="clear" w:color="auto" w:fill="FFFFFF"/>
        </w:rPr>
        <w:t>（五）本标准最终解释权归四川省文化和旅游厅。</w:t>
      </w:r>
    </w:p>
    <w:p>
      <w:pPr>
        <w:spacing w:line="600" w:lineRule="exact"/>
        <w:sectPr>
          <w:pgSz w:w="11906" w:h="16838"/>
          <w:pgMar w:top="2098" w:right="1474" w:bottom="1985" w:left="1588" w:header="1701" w:footer="1588" w:gutter="0"/>
          <w:cols w:space="425" w:num="1"/>
          <w:docGrid w:linePitch="312" w:charSpace="0"/>
        </w:sectPr>
      </w:pPr>
    </w:p>
    <w:p>
      <w:pPr>
        <w:spacing w:line="600" w:lineRule="exact"/>
        <w:rPr>
          <w:rFonts w:ascii="黑体" w:hAnsi="黑体" w:eastAsia="黑体"/>
        </w:rPr>
      </w:pPr>
      <w:r>
        <w:rPr>
          <w:rFonts w:ascii="黑体" w:hAnsi="黑体" w:eastAsia="黑体"/>
        </w:rPr>
        <w:t>附件</w:t>
      </w:r>
      <w:r>
        <w:rPr>
          <w:rFonts w:hint="eastAsia" w:ascii="黑体" w:hAnsi="黑体" w:eastAsia="黑体"/>
        </w:rPr>
        <w:t>3</w:t>
      </w:r>
    </w:p>
    <w:p>
      <w:pPr>
        <w:pStyle w:val="2"/>
        <w:spacing w:before="0"/>
        <w:ind w:left="0" w:firstLine="643" w:firstLineChars="200"/>
      </w:pPr>
    </w:p>
    <w:p>
      <w:pPr>
        <w:spacing w:line="800" w:lineRule="exact"/>
        <w:jc w:val="center"/>
        <w:rPr>
          <w:rFonts w:ascii="方正小标宋_GBK" w:eastAsia="方正小标宋_GBK"/>
          <w:sz w:val="44"/>
          <w:szCs w:val="44"/>
        </w:rPr>
      </w:pPr>
      <w:r>
        <w:rPr>
          <w:rFonts w:hint="eastAsia" w:ascii="方正小标宋_GBK" w:eastAsia="方正小标宋_GBK"/>
          <w:sz w:val="44"/>
          <w:szCs w:val="44"/>
        </w:rPr>
        <w:t>四川省科技类校外培训机构</w:t>
      </w:r>
    </w:p>
    <w:p>
      <w:pPr>
        <w:spacing w:line="800" w:lineRule="exact"/>
        <w:jc w:val="center"/>
        <w:rPr>
          <w:rFonts w:ascii="方正小标宋_GBK" w:eastAsia="方正小标宋_GBK"/>
          <w:sz w:val="44"/>
          <w:szCs w:val="44"/>
        </w:rPr>
      </w:pPr>
      <w:r>
        <w:rPr>
          <w:rFonts w:hint="eastAsia" w:ascii="方正小标宋_GBK" w:eastAsia="方正小标宋_GBK"/>
          <w:sz w:val="44"/>
          <w:szCs w:val="44"/>
        </w:rPr>
        <w:t>设置标准（试行）</w:t>
      </w:r>
    </w:p>
    <w:p>
      <w:pPr>
        <w:ind w:firstLine="640" w:firstLineChars="200"/>
      </w:pPr>
    </w:p>
    <w:p>
      <w:pPr>
        <w:spacing w:line="600" w:lineRule="exact"/>
        <w:ind w:firstLine="640" w:firstLineChars="200"/>
        <w:rPr>
          <w:rFonts w:ascii="黑体" w:hAnsi="黑体" w:eastAsia="黑体"/>
        </w:rPr>
      </w:pPr>
      <w:r>
        <w:rPr>
          <w:rFonts w:hint="eastAsia" w:ascii="黑体" w:hAnsi="黑体" w:eastAsia="黑体"/>
        </w:rPr>
        <w:t>一、适用范围</w:t>
      </w:r>
    </w:p>
    <w:p>
      <w:pPr>
        <w:spacing w:line="600" w:lineRule="exact"/>
        <w:ind w:firstLine="640" w:firstLineChars="200"/>
      </w:pPr>
      <w:r>
        <w:rPr>
          <w:rFonts w:hint="eastAsia"/>
        </w:rPr>
        <w:t>本标准所称科技类校外培训机构（以下简称“科技类培训机构”），是指在本省行政区域内，经科技部门审核同意，依法取得办学许可后进行注册登记的，由国家机构以外的社会组织或个人，利用非国家财政性经费，面向中小学校（园）学生开展科学探索、实验操作、模型制作、编程、机器人、创客、科普知识等科学技术培训，旨在培养科学兴趣、提升科学素养、拓展创新思维和实践能力的非学历教育培训机构。</w:t>
      </w:r>
    </w:p>
    <w:p>
      <w:pPr>
        <w:spacing w:line="600" w:lineRule="exact"/>
        <w:ind w:firstLine="640" w:firstLineChars="200"/>
      </w:pPr>
      <w:r>
        <w:rPr>
          <w:rFonts w:hint="eastAsia"/>
        </w:rPr>
        <w:t>本标准所指中小学校（园）学生包括3—6岁学龄前儿童、义务教育阶段学生和高中阶段学生。</w:t>
      </w:r>
    </w:p>
    <w:p>
      <w:pPr>
        <w:spacing w:line="600" w:lineRule="exact"/>
        <w:ind w:firstLine="640" w:firstLineChars="200"/>
        <w:rPr>
          <w:rFonts w:ascii="黑体" w:hAnsi="黑体" w:eastAsia="黑体"/>
        </w:rPr>
      </w:pPr>
      <w:r>
        <w:rPr>
          <w:rFonts w:hint="eastAsia" w:ascii="黑体" w:hAnsi="黑体" w:eastAsia="黑体"/>
        </w:rPr>
        <w:t>二、设立原则</w:t>
      </w:r>
    </w:p>
    <w:p>
      <w:pPr>
        <w:spacing w:line="600" w:lineRule="exact"/>
        <w:ind w:firstLine="640" w:firstLineChars="200"/>
      </w:pPr>
      <w:r>
        <w:rPr>
          <w:rFonts w:hint="eastAsia"/>
        </w:rPr>
        <w:t>坚持育人为本。全面贯彻党的教育方针，培养学生创新精神和实践能力，促进学生全面发展。</w:t>
      </w:r>
    </w:p>
    <w:p>
      <w:pPr>
        <w:spacing w:line="600" w:lineRule="exact"/>
        <w:ind w:firstLine="640" w:firstLineChars="200"/>
      </w:pPr>
      <w:r>
        <w:rPr>
          <w:rFonts w:hint="eastAsia"/>
        </w:rPr>
        <w:t>坚持公益属性。始终把社会效益放在首位，防止过高收费和过度逐利行为。</w:t>
      </w:r>
    </w:p>
    <w:p>
      <w:pPr>
        <w:spacing w:line="600" w:lineRule="exact"/>
        <w:ind w:firstLine="640" w:firstLineChars="200"/>
      </w:pPr>
      <w:r>
        <w:rPr>
          <w:rFonts w:hint="eastAsia"/>
        </w:rPr>
        <w:t>坚持生命至上。坚守安全底线，切实保障师生安全，从源头上防范化解重大安全风险。</w:t>
      </w:r>
    </w:p>
    <w:p>
      <w:pPr>
        <w:spacing w:line="600" w:lineRule="exact"/>
        <w:ind w:firstLine="640" w:firstLineChars="200"/>
        <w:rPr>
          <w:rFonts w:ascii="黑体" w:hAnsi="黑体" w:eastAsia="黑体"/>
        </w:rPr>
      </w:pPr>
      <w:r>
        <w:rPr>
          <w:rFonts w:hint="eastAsia" w:ascii="黑体" w:hAnsi="黑体" w:eastAsia="黑体"/>
        </w:rPr>
        <w:t>三、举办者</w:t>
      </w:r>
    </w:p>
    <w:p>
      <w:pPr>
        <w:spacing w:line="600" w:lineRule="exact"/>
        <w:ind w:firstLine="640" w:firstLineChars="200"/>
      </w:pPr>
      <w:r>
        <w:rPr>
          <w:rFonts w:hint="eastAsia"/>
        </w:rPr>
        <w:t>（一）举办者是社会组织、企业的，应当具备下列条件：</w:t>
      </w:r>
    </w:p>
    <w:p>
      <w:pPr>
        <w:spacing w:line="600" w:lineRule="exact"/>
        <w:ind w:firstLine="640" w:firstLineChars="200"/>
      </w:pPr>
      <w:r>
        <w:rPr>
          <w:rFonts w:hint="eastAsia"/>
        </w:rPr>
        <w:t>1.具有中华人民共和国法人资格；</w:t>
      </w:r>
    </w:p>
    <w:p>
      <w:pPr>
        <w:spacing w:line="600" w:lineRule="exact"/>
        <w:ind w:firstLine="640" w:firstLineChars="200"/>
      </w:pPr>
      <w:r>
        <w:rPr>
          <w:rFonts w:hint="eastAsia"/>
        </w:rPr>
        <w:t>2.信用状况良好，无不良记录，未被列入经营异常名录或严重违法失信单位名单；</w:t>
      </w:r>
    </w:p>
    <w:p>
      <w:pPr>
        <w:spacing w:line="600" w:lineRule="exact"/>
        <w:ind w:firstLine="640" w:firstLineChars="200"/>
      </w:pPr>
      <w:r>
        <w:rPr>
          <w:rFonts w:hint="eastAsia"/>
        </w:rPr>
        <w:t>3.法定代表人具有中华人民共和国国籍，在中国境内定居，信用状况良好，无犯罪记录和教育、科技领域不良从业记录，具有政治权利和完全民事行为能力；</w:t>
      </w:r>
    </w:p>
    <w:p>
      <w:pPr>
        <w:spacing w:line="600" w:lineRule="exact"/>
        <w:ind w:firstLine="640" w:firstLineChars="200"/>
      </w:pPr>
      <w:r>
        <w:rPr>
          <w:rFonts w:hint="eastAsia"/>
        </w:rPr>
        <w:t>4.无境外相关组织和资金背景。</w:t>
      </w:r>
    </w:p>
    <w:p>
      <w:pPr>
        <w:spacing w:line="600" w:lineRule="exact"/>
        <w:ind w:firstLine="640" w:firstLineChars="200"/>
      </w:pPr>
      <w:r>
        <w:rPr>
          <w:rFonts w:hint="eastAsia"/>
        </w:rPr>
        <w:t>（二）举办者是自然人的，应当具备下列条件：</w:t>
      </w:r>
    </w:p>
    <w:p>
      <w:pPr>
        <w:spacing w:line="600" w:lineRule="exact"/>
        <w:ind w:firstLine="640" w:firstLineChars="200"/>
      </w:pPr>
      <w:r>
        <w:rPr>
          <w:rFonts w:hint="eastAsia"/>
        </w:rPr>
        <w:t>1.具有中华人民共和国国籍，在中国境内定居；</w:t>
      </w:r>
    </w:p>
    <w:p>
      <w:pPr>
        <w:spacing w:line="600" w:lineRule="exact"/>
        <w:ind w:firstLine="640" w:firstLineChars="200"/>
      </w:pPr>
      <w:r>
        <w:rPr>
          <w:rFonts w:hint="eastAsia"/>
        </w:rPr>
        <w:t>2.信用状况良好，无犯罪记录和教育、科技领域不良从业记录；</w:t>
      </w:r>
    </w:p>
    <w:p>
      <w:pPr>
        <w:spacing w:line="600" w:lineRule="exact"/>
        <w:ind w:firstLine="640" w:firstLineChars="200"/>
      </w:pPr>
      <w:r>
        <w:rPr>
          <w:rFonts w:hint="eastAsia"/>
        </w:rPr>
        <w:t>3.具有政治权利和完全民事行为能力。</w:t>
      </w:r>
    </w:p>
    <w:p>
      <w:pPr>
        <w:spacing w:line="600" w:lineRule="exact"/>
        <w:ind w:firstLine="640" w:firstLineChars="200"/>
      </w:pPr>
      <w:r>
        <w:rPr>
          <w:rFonts w:hint="eastAsia"/>
        </w:rPr>
        <w:t>（三）联合举办科技类培训机构的，应当签订联合办学协议，明确合作方式、办学宗旨、培养目标以及各方权利义务和争议解决方式等。</w:t>
      </w:r>
    </w:p>
    <w:p>
      <w:pPr>
        <w:spacing w:line="600" w:lineRule="exact"/>
        <w:ind w:firstLine="640" w:firstLineChars="200"/>
      </w:pPr>
      <w:r>
        <w:rPr>
          <w:rFonts w:hint="eastAsia"/>
        </w:rPr>
        <w:t>（四）境外投资企业以及境外方为实际控制人的社会组织举办科技类培训机构的，应符合我国有关法律、法规和规章的规定。</w:t>
      </w:r>
    </w:p>
    <w:p>
      <w:pPr>
        <w:spacing w:line="600" w:lineRule="exact"/>
        <w:ind w:firstLine="640" w:firstLineChars="200"/>
      </w:pPr>
      <w:r>
        <w:rPr>
          <w:rFonts w:hint="eastAsia"/>
        </w:rPr>
        <w:t>（五）中小学校（园）及其在职教职工不得举办或参与举办科技类培训机构。</w:t>
      </w:r>
    </w:p>
    <w:p>
      <w:pPr>
        <w:spacing w:line="600" w:lineRule="exact"/>
        <w:ind w:firstLine="640" w:firstLineChars="200"/>
        <w:rPr>
          <w:rFonts w:ascii="黑体" w:hAnsi="黑体" w:eastAsia="黑体"/>
        </w:rPr>
      </w:pPr>
      <w:r>
        <w:rPr>
          <w:rFonts w:hint="eastAsia" w:ascii="黑体" w:hAnsi="黑体" w:eastAsia="黑体"/>
        </w:rPr>
        <w:t>四、名称与章程</w:t>
      </w:r>
    </w:p>
    <w:p>
      <w:pPr>
        <w:spacing w:line="600" w:lineRule="exact"/>
        <w:ind w:firstLine="640" w:firstLineChars="200"/>
      </w:pPr>
      <w:r>
        <w:rPr>
          <w:rFonts w:hint="eastAsia"/>
        </w:rPr>
        <w:t>（一）科技类培训机构名称应当符合《企业名称登记管理规定》《民办非企业单位名称管理暂行规定》等国家行政法规及相关政策规定，载明“培训”字样。同一培训机构只能使用一个名称。</w:t>
      </w:r>
    </w:p>
    <w:p>
      <w:pPr>
        <w:spacing w:line="600" w:lineRule="exact"/>
        <w:ind w:firstLine="640" w:firstLineChars="200"/>
      </w:pPr>
      <w:r>
        <w:rPr>
          <w:rFonts w:hint="eastAsia"/>
        </w:rPr>
        <w:t>1.不得冠以“国际”“世界”“全球”“中国”“全国”“中华”“西南”等大区域字样；</w:t>
      </w:r>
    </w:p>
    <w:p>
      <w:pPr>
        <w:spacing w:line="600" w:lineRule="exact"/>
        <w:ind w:firstLine="640" w:firstLineChars="200"/>
      </w:pPr>
      <w:r>
        <w:rPr>
          <w:rFonts w:hint="eastAsia"/>
        </w:rPr>
        <w:t>2.不得包含中小学校（园）、大学名称或简称；</w:t>
      </w:r>
    </w:p>
    <w:p>
      <w:pPr>
        <w:spacing w:line="600" w:lineRule="exact"/>
        <w:ind w:firstLine="640" w:firstLineChars="200"/>
      </w:pPr>
      <w:r>
        <w:rPr>
          <w:rFonts w:hint="eastAsia"/>
        </w:rPr>
        <w:t>3.不得使用可能对公众造成误解、引发歧义的内容和文字；</w:t>
      </w:r>
    </w:p>
    <w:p>
      <w:pPr>
        <w:spacing w:line="600" w:lineRule="exact"/>
        <w:ind w:firstLine="640" w:firstLineChars="200"/>
      </w:pPr>
      <w:r>
        <w:rPr>
          <w:rFonts w:hint="eastAsia"/>
        </w:rPr>
        <w:t>4.不得利用中小学校（园）品牌开展商业活动；</w:t>
      </w:r>
    </w:p>
    <w:p>
      <w:pPr>
        <w:pStyle w:val="5"/>
        <w:spacing w:line="600" w:lineRule="exact"/>
        <w:ind w:firstLine="640"/>
        <w:rPr>
          <w:rFonts w:hint="default" w:ascii="Times New Roman" w:hAnsi="Times New Roman" w:eastAsia="仿宋_GB2312"/>
        </w:rPr>
      </w:pPr>
      <w:r>
        <w:rPr>
          <w:rFonts w:ascii="Times New Roman" w:hAnsi="Times New Roman" w:eastAsia="仿宋_GB2312"/>
        </w:rPr>
        <w:t>5.对外使用的名称应与批准的名称一致。</w:t>
      </w:r>
    </w:p>
    <w:p>
      <w:pPr>
        <w:spacing w:line="600" w:lineRule="exact"/>
        <w:ind w:firstLine="640" w:firstLineChars="200"/>
      </w:pPr>
      <w:r>
        <w:rPr>
          <w:rFonts w:hint="eastAsia"/>
        </w:rPr>
        <w:t>（二）科技类培训机构应当依法制定章程。章程内容应符合《中华人民共和国公司法》《民办非企业单位登记管理暂行条例》等法律、法规和规章规定。章程应当载明下列事项:</w:t>
      </w:r>
    </w:p>
    <w:p>
      <w:pPr>
        <w:spacing w:line="600" w:lineRule="exact"/>
        <w:ind w:firstLine="640" w:firstLineChars="200"/>
      </w:pPr>
      <w:r>
        <w:rPr>
          <w:rFonts w:hint="eastAsia"/>
        </w:rPr>
        <w:t>1.机构的名称、住所、办学地址、法人属性；</w:t>
      </w:r>
    </w:p>
    <w:p>
      <w:pPr>
        <w:spacing w:line="600" w:lineRule="exact"/>
        <w:ind w:firstLine="640" w:firstLineChars="200"/>
      </w:pPr>
      <w:r>
        <w:rPr>
          <w:rFonts w:hint="eastAsia"/>
        </w:rPr>
        <w:t>2.举办者的权利义务，举办者变更、权益转让的办法；</w:t>
      </w:r>
    </w:p>
    <w:p>
      <w:pPr>
        <w:spacing w:line="600" w:lineRule="exact"/>
        <w:ind w:firstLine="640" w:firstLineChars="200"/>
      </w:pPr>
      <w:r>
        <w:rPr>
          <w:rFonts w:hint="eastAsia"/>
        </w:rPr>
        <w:t>3.办学宗旨、发展定位、层次、类型、规模、形式等；</w:t>
      </w:r>
    </w:p>
    <w:p>
      <w:pPr>
        <w:spacing w:line="600" w:lineRule="exact"/>
        <w:ind w:firstLine="640" w:firstLineChars="200"/>
      </w:pPr>
      <w:r>
        <w:rPr>
          <w:rFonts w:hint="eastAsia"/>
        </w:rPr>
        <w:t>4.机构开办资金、资产的数额、来源、性质等以及财务制度；</w:t>
      </w:r>
    </w:p>
    <w:p>
      <w:pPr>
        <w:spacing w:line="600" w:lineRule="exact"/>
        <w:ind w:firstLine="640" w:firstLineChars="200"/>
      </w:pPr>
      <w:r>
        <w:rPr>
          <w:rFonts w:hint="eastAsia"/>
        </w:rPr>
        <w:t>5.理事会、董事会或者其他形式决策机构和监督机构的产生方法、人员构成、任期、议事规则等；</w:t>
      </w:r>
    </w:p>
    <w:p>
      <w:pPr>
        <w:spacing w:line="600" w:lineRule="exact"/>
        <w:ind w:firstLine="640" w:firstLineChars="200"/>
      </w:pPr>
      <w:r>
        <w:rPr>
          <w:rFonts w:hint="eastAsia"/>
        </w:rPr>
        <w:t>6.机构党的建设和党组织负责人或者代表进入决策机构和监督机构的程序；</w:t>
      </w:r>
    </w:p>
    <w:p>
      <w:pPr>
        <w:spacing w:line="600" w:lineRule="exact"/>
        <w:ind w:firstLine="640" w:firstLineChars="200"/>
      </w:pPr>
      <w:r>
        <w:rPr>
          <w:rFonts w:hint="eastAsia"/>
        </w:rPr>
        <w:t>7.机构法定代表人的产生及罢免程序；</w:t>
      </w:r>
    </w:p>
    <w:p>
      <w:pPr>
        <w:spacing w:line="600" w:lineRule="exact"/>
        <w:ind w:firstLine="640" w:firstLineChars="200"/>
      </w:pPr>
      <w:r>
        <w:rPr>
          <w:rFonts w:hint="eastAsia"/>
        </w:rPr>
        <w:t>8.机构自行终止的事由，剩余资产处置的办法与程序；</w:t>
      </w:r>
    </w:p>
    <w:p>
      <w:pPr>
        <w:spacing w:line="600" w:lineRule="exact"/>
        <w:ind w:firstLine="640" w:firstLineChars="200"/>
      </w:pPr>
      <w:r>
        <w:rPr>
          <w:rFonts w:hint="eastAsia"/>
        </w:rPr>
        <w:t>9.章程修改程序；</w:t>
      </w:r>
    </w:p>
    <w:p>
      <w:pPr>
        <w:pStyle w:val="5"/>
        <w:spacing w:line="600" w:lineRule="exact"/>
        <w:ind w:firstLine="640"/>
        <w:rPr>
          <w:rFonts w:hint="default" w:ascii="Times New Roman" w:hAnsi="Times New Roman" w:eastAsia="仿宋_GB2312"/>
        </w:rPr>
      </w:pPr>
      <w:r>
        <w:rPr>
          <w:rFonts w:ascii="Times New Roman" w:hAnsi="Times New Roman" w:eastAsia="仿宋_GB2312"/>
        </w:rPr>
        <w:t>10.法律、法规和规章规定的其他事项。</w:t>
      </w:r>
    </w:p>
    <w:p>
      <w:pPr>
        <w:spacing w:line="600" w:lineRule="exact"/>
        <w:ind w:firstLine="640" w:firstLineChars="200"/>
      </w:pPr>
      <w:r>
        <w:rPr>
          <w:rFonts w:hint="eastAsia"/>
        </w:rPr>
        <w:t>（三）科技类培训机构应当制定并完善教学管理制度、安全管理与卫生防疫制度、从业人员管理制度、学员管理制度、培训材料管理制度、档案管理制度、资产和财务管理制度、收费和退费管理制度、设施设备管理制度、教师培训和考核制度、课程备案和公示制度等规章制度。</w:t>
      </w:r>
    </w:p>
    <w:p>
      <w:pPr>
        <w:spacing w:line="600" w:lineRule="exact"/>
        <w:ind w:firstLine="640" w:firstLineChars="200"/>
        <w:rPr>
          <w:rFonts w:ascii="黑体" w:hAnsi="黑体" w:eastAsia="黑体"/>
        </w:rPr>
      </w:pPr>
      <w:r>
        <w:rPr>
          <w:rFonts w:hint="eastAsia" w:ascii="黑体" w:hAnsi="黑体" w:eastAsia="黑体"/>
        </w:rPr>
        <w:t>五、开办资金</w:t>
      </w:r>
    </w:p>
    <w:p>
      <w:pPr>
        <w:spacing w:line="600" w:lineRule="exact"/>
        <w:ind w:firstLine="640" w:firstLineChars="200"/>
      </w:pPr>
      <w:r>
        <w:rPr>
          <w:rFonts w:hint="eastAsia"/>
        </w:rPr>
        <w:t>（一）科技类培训机构应当具有稳定的办学经费来源，开办资金（注册资本）应当与培训形式、培训项目、培训规模相适应，符合《中华人民共和国公司法》《民办非企业单位登记管理暂行条例》等相关法律法规要求。</w:t>
      </w:r>
    </w:p>
    <w:p>
      <w:pPr>
        <w:spacing w:line="600" w:lineRule="exact"/>
        <w:ind w:firstLine="640" w:firstLineChars="200"/>
      </w:pPr>
      <w:r>
        <w:rPr>
          <w:rFonts w:hint="eastAsia"/>
        </w:rPr>
        <w:t>（二）科技类培训机构正式设立时，开办资金（注册资本）原则上不低于30万元人民币。以货币出资的，应当足额存入机构监管账户；以非货币财产出资的，应提供有资质机构出具的资产评估报告，且依法及时办理财产权转移手续。</w:t>
      </w:r>
    </w:p>
    <w:p>
      <w:pPr>
        <w:spacing w:line="600" w:lineRule="exact"/>
        <w:ind w:firstLine="640" w:firstLineChars="200"/>
      </w:pPr>
      <w:r>
        <w:rPr>
          <w:rFonts w:hint="eastAsia"/>
        </w:rPr>
        <w:t>（三）财政性经费不得作为举办者开办资金（注册资本）。以国有资产作为开办资金（注册资本）的，应当符合国有资产监督管理等相关规定。</w:t>
      </w:r>
    </w:p>
    <w:p>
      <w:pPr>
        <w:spacing w:line="600" w:lineRule="exact"/>
        <w:ind w:firstLine="640" w:firstLineChars="200"/>
        <w:rPr>
          <w:rFonts w:ascii="黑体" w:hAnsi="黑体" w:eastAsia="黑体"/>
        </w:rPr>
      </w:pPr>
      <w:r>
        <w:rPr>
          <w:rFonts w:hint="eastAsia" w:ascii="黑体" w:hAnsi="黑体" w:eastAsia="黑体"/>
        </w:rPr>
        <w:t>六、场地设施</w:t>
      </w:r>
    </w:p>
    <w:p>
      <w:pPr>
        <w:spacing w:line="600" w:lineRule="exact"/>
        <w:ind w:firstLine="640" w:firstLineChars="200"/>
      </w:pPr>
      <w:r>
        <w:rPr>
          <w:rFonts w:hint="eastAsia"/>
        </w:rPr>
        <w:t>（一）科技类培训机构应当具有与培训项目、培训规模相适应的独立使用场所，并取得合法的产权或使用权。以租用场所开办的，应提供具有法律效力的租赁合同（协议），租赁合同（协议）中应明确双方消防安全责任，租赁期限自申请开办之日起不得少于2年。</w:t>
      </w:r>
    </w:p>
    <w:p>
      <w:pPr>
        <w:spacing w:line="600" w:lineRule="exact"/>
        <w:ind w:firstLine="640" w:firstLineChars="200"/>
      </w:pPr>
      <w:r>
        <w:rPr>
          <w:rFonts w:hint="eastAsia"/>
        </w:rPr>
        <w:t>（二）科技类培训机构培训场所必须符合国家和省关于中小学消防、住建、环保、卫生等法律法规及政策规定，符合《教育部办公厅 应急管理部办公厅关于印发〈校外培训机构消防安全管理九项规定〉的通知》《四川省住房和城乡建设厅 四川省教育厅 四川省消防救援总队关于规范校外培训机构建设工程消防设计审查验收工作的通知》等要求，依法依规通过房屋安全鉴定，取得消防设计审查验收手续。培训机构不得擅自变更建筑用途和使用功能、擅自改变承重结构。不得使用工业厂房、居民住宅、简易建筑、临时建筑、危房、地下室、半地下室、仓库、车库、夹层、违章建筑及其他有安全隐患的场所，不得租用消防设计审查验收手续不全的场所，不得租赁或借用中小学校（园）校舍、场地办学，不得与不利于学生学习和身心健康以及危及学生安全的场所毗邻。用于3—6岁学龄前儿童培训的场所不得超过建筑物3层，用于小学生培训的场所不得超过建筑物4层，用于中学生培训的场所不得超过建筑物5层，并符合相关技术标准要求。</w:t>
      </w:r>
    </w:p>
    <w:p>
      <w:pPr>
        <w:spacing w:line="600" w:lineRule="exact"/>
        <w:ind w:firstLine="640" w:firstLineChars="200"/>
      </w:pPr>
      <w:r>
        <w:rPr>
          <w:rFonts w:hint="eastAsia"/>
        </w:rPr>
        <w:t>（三）科技类培训机构的办学场所面积应当与培训内容和规模相适应。其中，培训场地面积应不少于办学场所面积的2/3。同一培训时段内生均面积不低于3平方米，需要较多设备、器材的科技类课程同一培训时段内生均面积不低于5平方米，确保保持合理间距，不拥挤、易疏散。</w:t>
      </w:r>
    </w:p>
    <w:p>
      <w:pPr>
        <w:spacing w:line="600" w:lineRule="exact"/>
        <w:ind w:firstLine="640" w:firstLineChars="200"/>
      </w:pPr>
      <w:r>
        <w:rPr>
          <w:rFonts w:hint="eastAsia"/>
        </w:rPr>
        <w:t>（四）科技类培训机构应具有与培训类别、培训层次、培训项目和培训规模相适应的设施设备和器材等。培训教室设施设备要按照培训内容设计要求和《中小学校设计规范》进行建设。对于存在安全风险的设施设备，须做好防护措施，设立警示标牌，并制定应急预案、配备基本防护用品。设施设备存在噪音危害的，应采取有效的措施隔音降噪。科学实验应安排在专用教室进行，其场地、设备、安全等要求应与中小学校实验室要求一致。</w:t>
      </w:r>
    </w:p>
    <w:p>
      <w:pPr>
        <w:spacing w:line="600" w:lineRule="exact"/>
        <w:ind w:firstLine="640" w:firstLineChars="200"/>
      </w:pPr>
      <w:r>
        <w:rPr>
          <w:rFonts w:hint="eastAsia"/>
        </w:rPr>
        <w:t>（五）科技类培训机构办学场所必须达到中小学校（园）安全要求，建立“人防、物防、技防”三位一体的安全防范体系，场所应配备具有视音频监控功能的安全技术防范系统，确保教室、户外活动场地、活动室、出入口及周边等场所无死角，应设置明显提示性标识，并具备与公安、科技、教育等部门实时联网的接口。采获的视音频、出入记录等信息储存时间不得少于60日。各类安全制度、安全注意事项和特殊要求、平面示意图及疏散通道指示图等应悬挂在明显位置；设置醒目的安全指示标志，并确保安全疏散通道畅通。加强对从业人员进行设施操作、消防安全、应急救护等方面培训；制定事故应急处置预案并至少半年开展一次应急处置演练；通过为教员和学员购买人身安全保险等方式，防范和化解安全事故风险。</w:t>
      </w:r>
    </w:p>
    <w:p>
      <w:pPr>
        <w:spacing w:line="600" w:lineRule="exact"/>
        <w:ind w:firstLine="640" w:firstLineChars="200"/>
      </w:pPr>
      <w:r>
        <w:rPr>
          <w:rFonts w:hint="eastAsia"/>
        </w:rPr>
        <w:t>（六）科技类培训机构办学场所必须达到当地防疫部门的防疫要求，落实疫情防控主体责任，落实培训场所各项防控措施，做好教室等重点场所卫生防疫管理，保障教员和学员身体健康。</w:t>
      </w:r>
    </w:p>
    <w:p>
      <w:pPr>
        <w:spacing w:line="600" w:lineRule="exact"/>
        <w:ind w:firstLine="640" w:firstLineChars="200"/>
        <w:rPr>
          <w:rFonts w:ascii="黑体" w:hAnsi="黑体" w:eastAsia="黑体"/>
        </w:rPr>
      </w:pPr>
      <w:r>
        <w:rPr>
          <w:rFonts w:hint="eastAsia" w:ascii="黑体" w:hAnsi="黑体" w:eastAsia="黑体"/>
        </w:rPr>
        <w:t>七、从业人员</w:t>
      </w:r>
    </w:p>
    <w:p>
      <w:pPr>
        <w:spacing w:line="600" w:lineRule="exact"/>
        <w:ind w:firstLine="640" w:firstLineChars="200"/>
      </w:pPr>
      <w:r>
        <w:rPr>
          <w:rFonts w:hint="eastAsia"/>
        </w:rPr>
        <w:t>（一）科技类培训机构从业人员必须遵守宪法和法律、热爱教育事业、具有良好思想品德和职业道德、具备相应培训能力、能熟练使用国家通用语言文字教学、身心健康，实名上岗。</w:t>
      </w:r>
    </w:p>
    <w:p>
      <w:pPr>
        <w:spacing w:line="600" w:lineRule="exact"/>
        <w:ind w:firstLine="640" w:firstLineChars="200"/>
      </w:pPr>
      <w:r>
        <w:rPr>
          <w:rFonts w:hint="eastAsia"/>
        </w:rPr>
        <w:t>（二）科技类培训机构聘用教学人员应符合以下条件之一：</w:t>
      </w:r>
    </w:p>
    <w:p>
      <w:pPr>
        <w:spacing w:line="600" w:lineRule="exact"/>
        <w:ind w:firstLine="640" w:firstLineChars="200"/>
      </w:pPr>
      <w:r>
        <w:rPr>
          <w:rFonts w:hint="eastAsia"/>
        </w:rPr>
        <w:t>1.具有自然科学或工程技术相关专业大学专科及以上学历；</w:t>
      </w:r>
    </w:p>
    <w:p>
      <w:pPr>
        <w:spacing w:line="600" w:lineRule="exact"/>
        <w:ind w:firstLine="640" w:firstLineChars="200"/>
      </w:pPr>
      <w:r>
        <w:rPr>
          <w:rFonts w:hint="eastAsia"/>
        </w:rPr>
        <w:t>2.具有与培训项目对应的教师资格证；</w:t>
      </w:r>
    </w:p>
    <w:p>
      <w:pPr>
        <w:spacing w:line="600" w:lineRule="exact"/>
        <w:ind w:firstLine="640" w:firstLineChars="200"/>
      </w:pPr>
      <w:r>
        <w:rPr>
          <w:rFonts w:hint="eastAsia"/>
        </w:rPr>
        <w:t>3.具有相应的职业资格证书；</w:t>
      </w:r>
    </w:p>
    <w:p>
      <w:pPr>
        <w:spacing w:line="600" w:lineRule="exact"/>
        <w:ind w:firstLine="640" w:firstLineChars="200"/>
      </w:pPr>
      <w:r>
        <w:rPr>
          <w:rFonts w:hint="eastAsia"/>
        </w:rPr>
        <w:t>4.具有经人力资源和社会保障部确定的人才评价机构颁发的科技职业技能等级证书；</w:t>
      </w:r>
    </w:p>
    <w:p>
      <w:pPr>
        <w:spacing w:line="600" w:lineRule="exact"/>
        <w:ind w:firstLine="640" w:firstLineChars="200"/>
      </w:pPr>
      <w:r>
        <w:rPr>
          <w:rFonts w:hint="eastAsia"/>
        </w:rPr>
        <w:t>5.具有经省级（含）以上科技行政部门认定的相关证书。</w:t>
      </w:r>
    </w:p>
    <w:p>
      <w:pPr>
        <w:spacing w:line="600" w:lineRule="exact"/>
        <w:ind w:firstLine="640" w:firstLineChars="200"/>
      </w:pPr>
      <w:r>
        <w:rPr>
          <w:rFonts w:hint="eastAsia"/>
        </w:rPr>
        <w:t>（三）科技类培训机构应根据所开设培训内容及规模配备具有相应任职资格和任职条件的专兼职教师。其中专职教学、教研人员原则上不低于机构从业人员总数的50%。同一培训时段内师生比不低于1:20，单个培训场所的专职教学人员不得少于3人，且每个科目要有1名以上的专职教学人员。</w:t>
      </w:r>
    </w:p>
    <w:p>
      <w:pPr>
        <w:spacing w:line="600" w:lineRule="exact"/>
        <w:ind w:firstLine="640" w:firstLineChars="200"/>
      </w:pPr>
      <w:r>
        <w:rPr>
          <w:rFonts w:hint="eastAsia"/>
        </w:rPr>
        <w:t>（四）科技类培训机构不得聘用下列人员：</w:t>
      </w:r>
    </w:p>
    <w:p>
      <w:pPr>
        <w:spacing w:line="600" w:lineRule="exact"/>
        <w:ind w:firstLine="640" w:firstLineChars="200"/>
      </w:pPr>
      <w:r>
        <w:rPr>
          <w:rFonts w:hint="eastAsia"/>
        </w:rPr>
        <w:t>1.中小学校（园）在职教职工；</w:t>
      </w:r>
    </w:p>
    <w:p>
      <w:pPr>
        <w:spacing w:line="600" w:lineRule="exact"/>
        <w:ind w:firstLine="640" w:firstLineChars="200"/>
      </w:pPr>
      <w:r>
        <w:rPr>
          <w:rFonts w:hint="eastAsia"/>
        </w:rPr>
        <w:t>2.纳入“校外培训机构从业人员黑名单”管理的人员；</w:t>
      </w:r>
    </w:p>
    <w:p>
      <w:pPr>
        <w:spacing w:line="600" w:lineRule="exact"/>
        <w:ind w:firstLine="640" w:firstLineChars="200"/>
      </w:pPr>
      <w:r>
        <w:rPr>
          <w:rFonts w:hint="eastAsia"/>
        </w:rPr>
        <w:t>3.受到剥夺政治权利或者故意犯罪受到有期徒刑以上刑事处罚的人员；</w:t>
      </w:r>
    </w:p>
    <w:p>
      <w:pPr>
        <w:pStyle w:val="2"/>
        <w:spacing w:before="0" w:line="600" w:lineRule="exact"/>
        <w:ind w:left="0" w:firstLine="640" w:firstLineChars="200"/>
        <w:rPr>
          <w:rFonts w:ascii="Times New Roman" w:hAnsi="Times New Roman" w:eastAsia="仿宋_GB2312" w:cs="Times New Roman"/>
          <w:b w:val="0"/>
          <w:bCs w:val="0"/>
        </w:rPr>
      </w:pPr>
      <w:r>
        <w:rPr>
          <w:rFonts w:hint="eastAsia" w:ascii="Times New Roman" w:hAnsi="Times New Roman" w:eastAsia="仿宋_GB2312" w:cs="Times New Roman"/>
          <w:b w:val="0"/>
          <w:bCs w:val="0"/>
        </w:rPr>
        <w:t>4.因危害未成年人的违法犯罪行为受到治安管理处罚或者管制、拘役等刑事处罚的人员；</w:t>
      </w:r>
    </w:p>
    <w:p>
      <w:pPr>
        <w:spacing w:line="600" w:lineRule="exact"/>
        <w:ind w:firstLine="640" w:firstLineChars="200"/>
      </w:pPr>
      <w:r>
        <w:rPr>
          <w:rFonts w:hint="eastAsia"/>
        </w:rPr>
        <w:t>5.其他不适宜在培训机构工作的人员。</w:t>
      </w:r>
    </w:p>
    <w:p>
      <w:pPr>
        <w:pStyle w:val="5"/>
        <w:spacing w:line="600" w:lineRule="exact"/>
        <w:ind w:firstLine="640"/>
        <w:rPr>
          <w:rFonts w:hint="default" w:ascii="Times New Roman" w:hAnsi="Times New Roman" w:eastAsia="仿宋_GB2312"/>
        </w:rPr>
      </w:pPr>
      <w:r>
        <w:rPr>
          <w:rFonts w:ascii="Times New Roman" w:hAnsi="Times New Roman" w:eastAsia="仿宋_GB2312"/>
        </w:rPr>
        <w:t>（五）科技类培训机构应配备具有专业能力的财务人员，会计和出纳不得兼任。按照相关规定配备安全管理人员，履行安全管理职责，落实安全防范措施。</w:t>
      </w:r>
    </w:p>
    <w:p>
      <w:pPr>
        <w:spacing w:line="600" w:lineRule="exact"/>
        <w:ind w:firstLine="640" w:firstLineChars="200"/>
      </w:pPr>
      <w:r>
        <w:rPr>
          <w:rFonts w:hint="eastAsia"/>
        </w:rPr>
        <w:t>（六）科技类培训机构应对拟招用人员和劳务派遣单位拟派遣至机构场所工作的人员进行性侵等违法犯罪信息查询，建立教员电子档案，实行实名制管理，教学、教研人员的基本信息（姓名、照片等）、教师资格、从教经历、任教课程、课程收费等信息应在机构培训场所及“四川省校外培训机构信息管理平台”（以下简称“平台”）、官方网站显著位置公示；其他从业人员信息应在机构内部进行公示。</w:t>
      </w:r>
    </w:p>
    <w:p>
      <w:pPr>
        <w:spacing w:line="600" w:lineRule="exact"/>
        <w:ind w:firstLine="640" w:firstLineChars="200"/>
      </w:pPr>
      <w:r>
        <w:rPr>
          <w:rFonts w:hint="eastAsia"/>
        </w:rPr>
        <w:t>（七）科技类培训机构应当与所聘人员依法签订聘用合同、劳动合同或劳务协议。依法保障教职工的工资、福利待遇和其他合法权益，为教职工缴纳符合相关规定的各项社会保险，保障其工资福利待遇和其他合法权益。对初次招用人员，应当开展岗位培训</w:t>
      </w:r>
      <w:r>
        <w:t>并取得合格证明</w:t>
      </w:r>
      <w:r>
        <w:rPr>
          <w:rFonts w:hint="eastAsia"/>
        </w:rPr>
        <w:t>。</w:t>
      </w:r>
    </w:p>
    <w:p>
      <w:pPr>
        <w:pStyle w:val="5"/>
        <w:spacing w:line="600" w:lineRule="exact"/>
        <w:ind w:firstLine="640"/>
        <w:rPr>
          <w:rFonts w:hint="default" w:ascii="黑体" w:hAnsi="黑体" w:eastAsia="黑体"/>
        </w:rPr>
      </w:pPr>
      <w:r>
        <w:rPr>
          <w:rFonts w:ascii="黑体" w:hAnsi="黑体" w:eastAsia="黑体"/>
        </w:rPr>
        <w:t>八、组织机构</w:t>
      </w:r>
    </w:p>
    <w:p>
      <w:pPr>
        <w:spacing w:line="600" w:lineRule="exact"/>
        <w:ind w:firstLine="640" w:firstLineChars="200"/>
      </w:pPr>
      <w:r>
        <w:rPr>
          <w:rFonts w:hint="eastAsia" w:ascii="楷体_GB2312" w:eastAsia="楷体_GB2312"/>
        </w:rPr>
        <w:t>（一）决策机构。</w:t>
      </w:r>
      <w:r>
        <w:rPr>
          <w:rFonts w:hint="eastAsia"/>
        </w:rPr>
        <w:t>科技类培训机构应当依法设立决策机构，由举办者或者其代表、党组织负责人、行政负责人、教职工代表等人员组成。三分之一以上的决策机构成员应当具有5年以上教育教学经验。有犯罪记录、教育和科技领域不良从业记录者不得在决策机构任职。</w:t>
      </w:r>
    </w:p>
    <w:p>
      <w:pPr>
        <w:spacing w:line="600" w:lineRule="exact"/>
        <w:ind w:firstLine="640" w:firstLineChars="200"/>
      </w:pPr>
      <w:r>
        <w:rPr>
          <w:rFonts w:hint="eastAsia" w:ascii="楷体_GB2312" w:eastAsia="楷体_GB2312"/>
        </w:rPr>
        <w:t>（二）监督机构。</w:t>
      </w:r>
      <w:r>
        <w:rPr>
          <w:rFonts w:hint="eastAsia"/>
        </w:rPr>
        <w:t>科技类培训机构应当建立监督机构，依法行使监督职权。监督机构应当有党的基层组织代表，且教职工代表不少于1/3。教职工人数少于20人的可以只设1至2名监事。决策机构组成人员及其近亲属、财务负责人不得兼任、担任监督机构成员或者监事。</w:t>
      </w:r>
    </w:p>
    <w:p>
      <w:pPr>
        <w:spacing w:line="600" w:lineRule="exact"/>
        <w:ind w:firstLine="640" w:firstLineChars="200"/>
      </w:pPr>
      <w:r>
        <w:rPr>
          <w:rFonts w:hint="eastAsia" w:ascii="楷体_GB2312" w:eastAsia="楷体_GB2312"/>
        </w:rPr>
        <w:t>（三）行政负责人。</w:t>
      </w:r>
      <w:r>
        <w:rPr>
          <w:rFonts w:hint="eastAsia"/>
        </w:rPr>
        <w:t>科技类培训机构行政负责人，应当具有中华人民共和国国籍，在中华人民共和国境内定居，具有政治权利和完全民事行为能力，大学专科及以上学历，具有3年以上教育从业管理经验和良好业绩，无犯罪记录和教育、科技领域不良从业记录，身体健康，年龄不超过70周岁。</w:t>
      </w:r>
    </w:p>
    <w:p>
      <w:pPr>
        <w:spacing w:line="600" w:lineRule="exact"/>
        <w:ind w:firstLine="640" w:firstLineChars="200"/>
      </w:pPr>
      <w:r>
        <w:rPr>
          <w:rFonts w:hint="eastAsia" w:ascii="楷体_GB2312" w:eastAsia="楷体_GB2312"/>
        </w:rPr>
        <w:t>（四）法定代表人。</w:t>
      </w:r>
      <w:r>
        <w:rPr>
          <w:rFonts w:hint="eastAsia"/>
        </w:rPr>
        <w:t>科技类培训机构的法定代表人应当依照法律、法规、规章及机构章程的规定，由决策机构负责人或者行政负责人担任。</w:t>
      </w:r>
    </w:p>
    <w:p>
      <w:pPr>
        <w:spacing w:line="600" w:lineRule="exact"/>
        <w:ind w:firstLine="640" w:firstLineChars="200"/>
        <w:rPr>
          <w:rFonts w:ascii="黑体" w:hAnsi="黑体" w:eastAsia="黑体"/>
        </w:rPr>
      </w:pPr>
      <w:r>
        <w:rPr>
          <w:rFonts w:hint="eastAsia" w:ascii="黑体" w:hAnsi="黑体" w:eastAsia="黑体"/>
        </w:rPr>
        <w:t>九、党的建设</w:t>
      </w:r>
    </w:p>
    <w:p>
      <w:pPr>
        <w:spacing w:line="600" w:lineRule="exact"/>
        <w:ind w:firstLine="640" w:firstLineChars="200"/>
      </w:pPr>
      <w:r>
        <w:rPr>
          <w:rFonts w:hint="eastAsia"/>
        </w:rPr>
        <w:t>（一）科技类培训机构必须按照《中国共产党章程》《中国共产党组织工作条例》规定建立中国共产党的基层组织，凡有3名以上正式党员的，均应单独建立党组织。对不具备单独建立党组织条件的培训机构，可采取联合组建、挂靠组建、选派党建指导员、联络员等途径开展党的工作，条件成熟时及时建立党组织。</w:t>
      </w:r>
    </w:p>
    <w:p>
      <w:pPr>
        <w:spacing w:line="600" w:lineRule="exact"/>
        <w:ind w:firstLine="640" w:firstLineChars="200"/>
      </w:pPr>
      <w:r>
        <w:rPr>
          <w:rFonts w:hint="eastAsia"/>
        </w:rPr>
        <w:t>（二）按照“谁主管、谁审批、谁负责”的原则，明确培训机构党组织的隶属关系。把党的建设有关内容写入培训机构章程，审批时对章程中党的建设有关内容严格把关。</w:t>
      </w:r>
    </w:p>
    <w:p>
      <w:pPr>
        <w:spacing w:line="600" w:lineRule="exact"/>
        <w:ind w:firstLine="640" w:firstLineChars="200"/>
      </w:pPr>
      <w:r>
        <w:rPr>
          <w:rFonts w:hint="eastAsia"/>
        </w:rPr>
        <w:t>（三）推进机构党组织班子与决策层、管理层“双向进入、交叉任职”，保证党组织在重大事项决策、监督、执行各环节有效发挥作用。</w:t>
      </w:r>
    </w:p>
    <w:p>
      <w:pPr>
        <w:spacing w:line="600" w:lineRule="exact"/>
        <w:ind w:firstLine="640" w:firstLineChars="200"/>
        <w:rPr>
          <w:rFonts w:ascii="黑体" w:hAnsi="黑体" w:eastAsia="黑体"/>
        </w:rPr>
      </w:pPr>
      <w:r>
        <w:rPr>
          <w:rFonts w:hint="eastAsia" w:ascii="黑体" w:hAnsi="黑体" w:eastAsia="黑体"/>
        </w:rPr>
        <w:t>十、课程要求</w:t>
      </w:r>
    </w:p>
    <w:p>
      <w:pPr>
        <w:spacing w:line="600" w:lineRule="exact"/>
        <w:ind w:firstLine="640" w:firstLineChars="200"/>
      </w:pPr>
      <w:r>
        <w:rPr>
          <w:rFonts w:hint="eastAsia"/>
        </w:rPr>
        <w:t>（一）科技类培训机构应落实自主管理责任，严格按照教育部办公厅发布的《义务教育阶段校外培训项目分类鉴别指南》规定，自觉按照“非学科类”的相关管理要求，规范开展培训活动，不得出现名不符实的情况，不得开展或变相开展学科类培训活动。</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科技类培训机构开展的培训项目，应当符合国家及本省有关规定，具有明确的培训宗旨、培养目标和培训内容，制定与培训项目相对应的培训计划，培训方式与培训对象的年龄状况、身心特点、认知水平相适应。</w:t>
      </w:r>
      <w:r>
        <w:rPr>
          <w:rFonts w:hint="eastAsia" w:ascii="Times New Roman" w:hAnsi="Times New Roman" w:eastAsia="仿宋_GB2312"/>
          <w:sz w:val="32"/>
          <w:szCs w:val="32"/>
          <w:shd w:val="clear" w:color="auto" w:fill="FFFFFF"/>
        </w:rPr>
        <w:t>不得开设易燃易爆、低俗有害等危害人身安全、社会公共安全以及违背公序良俗的课程内容，不得开设科技类以外的课程内容，不得宣扬宗教、伪科学、封建迷信等</w:t>
      </w:r>
      <w:r>
        <w:rPr>
          <w:rFonts w:hint="eastAsia" w:ascii="Times New Roman" w:hAnsi="Times New Roman" w:eastAsia="仿宋_GB2312"/>
          <w:sz w:val="32"/>
          <w:szCs w:val="32"/>
        </w:rPr>
        <w:t>。培训内容以学生动手参与和互动协作活动为主，动手时间不得低于培训总时长的80%。培训过程应全程录音录像，采获的视音频信息储存时间不得少于60日。</w:t>
      </w:r>
    </w:p>
    <w:p>
      <w:pPr>
        <w:spacing w:line="600" w:lineRule="exact"/>
        <w:ind w:firstLine="640" w:firstLineChars="200"/>
        <w:rPr>
          <w:shd w:val="clear" w:color="auto" w:fill="FFFFFF"/>
        </w:rPr>
      </w:pPr>
      <w:r>
        <w:rPr>
          <w:rFonts w:hint="eastAsia"/>
        </w:rPr>
        <w:t>（三）</w:t>
      </w:r>
      <w:r>
        <w:rPr>
          <w:rFonts w:hint="eastAsia"/>
          <w:shd w:val="clear" w:color="auto" w:fill="FFFFFF"/>
        </w:rPr>
        <w:t>科技类培训机构应当严格执行《中小学生校外培训材料管理办法（试行）》，建立培训材料编写研发、审核、选用使用及人员资质审查等内部管理制度，明确责任部门、责任人、工作职责、标准、流程以及责任追究办法。培训机构应当对培训内容的合法性、合规性、安全性作出书面承诺并自觉接受行政管理部门和社会的监督。所有培训材料应存档保管、备查，保管期限不少于相应培训材料使用完毕后3年。</w:t>
      </w:r>
    </w:p>
    <w:p>
      <w:pPr>
        <w:spacing w:line="600" w:lineRule="exact"/>
        <w:ind w:firstLine="640" w:firstLineChars="200"/>
        <w:rPr>
          <w:rFonts w:ascii="黑体" w:hAnsi="黑体" w:eastAsia="黑体"/>
        </w:rPr>
      </w:pPr>
      <w:r>
        <w:rPr>
          <w:rFonts w:hint="eastAsia" w:ascii="黑体" w:hAnsi="黑体" w:eastAsia="黑体"/>
        </w:rPr>
        <w:t>十一、培训收费</w:t>
      </w:r>
    </w:p>
    <w:p>
      <w:pPr>
        <w:spacing w:line="600" w:lineRule="exact"/>
        <w:ind w:firstLine="640" w:firstLineChars="200"/>
        <w:rPr>
          <w:shd w:val="clear" w:color="auto" w:fill="FFFFFF"/>
        </w:rPr>
      </w:pPr>
      <w:r>
        <w:rPr>
          <w:rFonts w:hint="eastAsia"/>
          <w:shd w:val="clear" w:color="auto" w:fill="FFFFFF"/>
        </w:rPr>
        <w:t>（一）科技类培训机构收费应当遵循公平、合法、诚实信用的原则，根据培训成本、市场需求等因素合理确定培训收费项目和标准，实行明码标价，不得过度逐利。培训内容、培训时长、收费项目与标准、预收费监管账户等信息应当在办学场所、官方网站等显著位置进行公示，接受监督。</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（二）科技类培训机构应当全面使用教育部、市场监管总局印发的《中小学生校外培训服务合同（示范文本）》</w:t>
      </w:r>
      <w:r>
        <w:rPr>
          <w:rFonts w:hint="eastAsia" w:ascii="Times New Roman" w:hAnsi="Times New Roman" w:eastAsia="仿宋_GB2312"/>
          <w:sz w:val="32"/>
          <w:szCs w:val="32"/>
        </w:rPr>
        <w:t>，严禁利用不公平格式条款侵害学生合法权益</w:t>
      </w:r>
      <w:r>
        <w:rPr>
          <w:rFonts w:hint="eastAsia" w:ascii="Times New Roman" w:hAnsi="Times New Roman" w:eastAsia="仿宋_GB2312"/>
          <w:sz w:val="32"/>
          <w:szCs w:val="32"/>
          <w:shd w:val="clear" w:color="auto" w:fill="FFFFFF"/>
        </w:rPr>
        <w:t>。自觉规范收费行为，禁止以虚构原价、虚假折扣、虚假宣传等方式开展经营活动。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（三）科技类培训机构</w:t>
      </w:r>
      <w:r>
        <w:rPr>
          <w:rFonts w:hint="eastAsia" w:ascii="Times New Roman" w:hAnsi="Times New Roman" w:eastAsia="仿宋_GB2312"/>
          <w:sz w:val="32"/>
          <w:szCs w:val="32"/>
        </w:rPr>
        <w:t>应在符合条件的金融机构开设预收费监管账户并与平台联通，</w:t>
      </w:r>
      <w:r>
        <w:rPr>
          <w:rFonts w:hint="eastAsia" w:ascii="Times New Roman" w:hAnsi="Times New Roman" w:eastAsia="仿宋_GB2312"/>
          <w:bCs/>
          <w:sz w:val="32"/>
          <w:szCs w:val="32"/>
        </w:rPr>
        <w:t>通过平台上架、售卖课程、收退费用。</w:t>
      </w:r>
      <w:r>
        <w:rPr>
          <w:rFonts w:hint="eastAsia" w:ascii="Times New Roman" w:hAnsi="Times New Roman" w:eastAsia="仿宋_GB2312"/>
          <w:sz w:val="32"/>
          <w:szCs w:val="32"/>
          <w:shd w:val="clear" w:color="auto" w:fill="FFFFFF"/>
        </w:rPr>
        <w:t>收取的培训预收费应全部进入预收费监管账户，</w:t>
      </w:r>
      <w:r>
        <w:rPr>
          <w:rFonts w:hint="eastAsia" w:ascii="Times New Roman" w:hAnsi="Times New Roman" w:eastAsia="仿宋_GB2312"/>
          <w:bCs/>
          <w:sz w:val="32"/>
          <w:szCs w:val="32"/>
        </w:rPr>
        <w:t>不得采取变通手段绕开平台，私下诱导家长进行交易，</w:t>
      </w:r>
      <w:r>
        <w:rPr>
          <w:rFonts w:hint="eastAsia" w:ascii="Times New Roman" w:hAnsi="Times New Roman" w:eastAsia="仿宋_GB2312"/>
          <w:sz w:val="32"/>
          <w:szCs w:val="32"/>
          <w:shd w:val="clear" w:color="auto" w:fill="FFFFFF"/>
        </w:rPr>
        <w:t>不得使用“培训贷”方式收取培训费用，不得强制、诱导学员使用消费贷款，收取培训费用时不得捆绑贷款、保险等金融产品或者服务，不得一次性收取或以充值、次卡等形式变相收取时间跨度超过3个月或60课时的费用，且不得超过5000元。依法履行纳税义务，按照国家有关规定开具发票，开具发票时发票内容应按照实际销售情况如实开具，不得填开与实际销售情况不符的内容，不得以收款收据等“白条”代替发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（四）科技类培训机构在学生缴费时应将有关退费办法向缴费者进行说明并公示，未完成的培训课程，应严格按相关政策规定及双方合同约定及时办理退费。</w:t>
      </w:r>
    </w:p>
    <w:p>
      <w:pPr>
        <w:spacing w:line="600" w:lineRule="exact"/>
        <w:ind w:firstLine="640" w:firstLineChars="200"/>
        <w:rPr>
          <w:rFonts w:ascii="黑体" w:hAnsi="黑体" w:eastAsia="黑体"/>
        </w:rPr>
      </w:pPr>
      <w:r>
        <w:rPr>
          <w:rFonts w:hint="eastAsia" w:ascii="黑体" w:hAnsi="黑体" w:eastAsia="黑体"/>
          <w:shd w:val="clear" w:color="auto" w:fill="FFFFFF"/>
        </w:rPr>
        <w:t>十二、附则</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一）不得开展面向学龄前儿童的线上培训，不再审批新的面向学龄前儿童的科技类培训机构。在本标准实施前已设立的科技类培训机构，须按照本标准要求实施之日起6个月内在平台重新进行核准。未按时核准登记或经核准认定达不到准入条件的，不得继续开展培训活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（二）科技部门应当加强科技类培训机构的日常管理。独立或会同有关部门依法开展日常检查、随机抽查、专项检查和年度检查等。</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（三）各市（州）科技部门应按照本标准规定的要求和当地实际，研究制订本地科技类培训机构准入的具体设置细则。</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（四）本标准自2023年2月1日起试行。国家法律、法规和规章关于培训机构设置另有新规的，从其规定。</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（五）本标准最终解释权归四川省科技厅。</w:t>
      </w:r>
    </w:p>
    <w:p>
      <w:pPr>
        <w:spacing w:line="600" w:lineRule="exact"/>
      </w:pPr>
    </w:p>
    <w:p>
      <w:pPr>
        <w:spacing w:line="600" w:lineRule="exact"/>
        <w:sectPr>
          <w:pgSz w:w="11906" w:h="16838"/>
          <w:pgMar w:top="2098" w:right="1474" w:bottom="1985" w:left="1588" w:header="1701" w:footer="1588" w:gutter="0"/>
          <w:cols w:space="425" w:num="1"/>
          <w:docGrid w:linePitch="312" w:charSpace="0"/>
        </w:sectPr>
      </w:pPr>
    </w:p>
    <w:p>
      <w:pPr>
        <w:spacing w:line="600" w:lineRule="exact"/>
        <w:rPr>
          <w:rFonts w:ascii="黑体" w:hAnsi="黑体" w:eastAsia="黑体"/>
        </w:rPr>
      </w:pPr>
      <w:r>
        <w:rPr>
          <w:rFonts w:ascii="黑体" w:hAnsi="黑体" w:eastAsia="黑体"/>
        </w:rPr>
        <w:t>附件</w:t>
      </w:r>
      <w:r>
        <w:rPr>
          <w:rFonts w:hint="eastAsia" w:ascii="黑体" w:hAnsi="黑体" w:eastAsia="黑体"/>
        </w:rPr>
        <w:t>4</w:t>
      </w:r>
    </w:p>
    <w:p>
      <w:pPr>
        <w:pStyle w:val="2"/>
        <w:spacing w:before="0"/>
        <w:ind w:left="0" w:firstLine="643" w:firstLineChars="200"/>
      </w:pPr>
    </w:p>
    <w:p>
      <w:pPr>
        <w:snapToGrid w:val="0"/>
        <w:spacing w:line="800" w:lineRule="exact"/>
        <w:jc w:val="center"/>
        <w:textAlignment w:val="baseline"/>
        <w:rPr>
          <w:rFonts w:eastAsia="方正小标宋_GBK"/>
          <w:sz w:val="44"/>
          <w:szCs w:val="44"/>
        </w:rPr>
      </w:pPr>
      <w:r>
        <w:rPr>
          <w:rFonts w:eastAsia="方正小标宋_GBK"/>
          <w:sz w:val="44"/>
          <w:szCs w:val="44"/>
        </w:rPr>
        <w:t>四川省体育类校外培训机构</w:t>
      </w:r>
    </w:p>
    <w:p>
      <w:pPr>
        <w:snapToGrid w:val="0"/>
        <w:spacing w:line="800" w:lineRule="exact"/>
        <w:jc w:val="center"/>
        <w:textAlignment w:val="baseline"/>
        <w:rPr>
          <w:rFonts w:eastAsia="方正小标宋_GBK"/>
          <w:sz w:val="44"/>
          <w:szCs w:val="44"/>
        </w:rPr>
      </w:pPr>
      <w:r>
        <w:rPr>
          <w:rFonts w:eastAsia="方正小标宋_GBK"/>
          <w:sz w:val="44"/>
          <w:szCs w:val="44"/>
        </w:rPr>
        <w:t>设置标准</w:t>
      </w:r>
      <w:r>
        <w:rPr>
          <w:rFonts w:hint="eastAsia" w:eastAsia="方正小标宋_GBK"/>
          <w:sz w:val="44"/>
          <w:szCs w:val="44"/>
        </w:rPr>
        <w:t>（试行）</w:t>
      </w:r>
    </w:p>
    <w:p>
      <w:pPr>
        <w:ind w:firstLine="640" w:firstLineChars="200"/>
      </w:pPr>
    </w:p>
    <w:p>
      <w:pPr>
        <w:spacing w:line="600" w:lineRule="exact"/>
        <w:ind w:firstLine="640" w:firstLineChars="200"/>
        <w:rPr>
          <w:rFonts w:ascii="黑体" w:hAnsi="黑体" w:eastAsia="黑体"/>
        </w:rPr>
      </w:pPr>
      <w:r>
        <w:rPr>
          <w:rFonts w:hint="eastAsia" w:ascii="黑体" w:hAnsi="黑体" w:eastAsia="黑体"/>
        </w:rPr>
        <w:t>一、适用范围</w:t>
      </w:r>
    </w:p>
    <w:p>
      <w:pPr>
        <w:spacing w:line="600" w:lineRule="exact"/>
        <w:ind w:firstLine="640" w:firstLineChars="200"/>
      </w:pPr>
      <w:r>
        <w:rPr>
          <w:rFonts w:hint="eastAsia"/>
        </w:rPr>
        <w:t>本标准所称体育类校外培训机构（以下简称“体育类培训机构”），是指在本省行政区域内，经体育部门审核同意、依法取得办学许可证后进行注册登记，由国家机构以外的社会组织或个人，利用非国家财政性经费，面向中小学校（园）学生开展以传授和提升专项运动技能体能的非学历教育培训机构，包括以企业为主体面向社会实施青少年体育培训的营利性体育俱乐部和体育协会。</w:t>
      </w:r>
    </w:p>
    <w:p>
      <w:pPr>
        <w:spacing w:line="600" w:lineRule="exact"/>
        <w:ind w:firstLine="640" w:firstLineChars="200"/>
      </w:pPr>
      <w:r>
        <w:rPr>
          <w:rFonts w:hint="eastAsia"/>
        </w:rPr>
        <w:t>本标准所指中小学校（园）学生包括3—6岁学龄前儿童、义务教育阶段学生和高中阶段学生。</w:t>
      </w:r>
    </w:p>
    <w:p>
      <w:pPr>
        <w:spacing w:line="600" w:lineRule="exact"/>
        <w:ind w:firstLine="640" w:firstLineChars="200"/>
      </w:pPr>
      <w:r>
        <w:rPr>
          <w:rFonts w:hint="eastAsia"/>
        </w:rPr>
        <w:t>本标准不适用于各级体育行政部门所辖运动项目管理中心、体育运动学校、公共体育场馆等事业单位面向儿童青少年群体开展的非营利性的体育训练、体育培训、运动场地（馆）等体育服务，以及学校自行管理的校内体育训练。</w:t>
      </w:r>
    </w:p>
    <w:p>
      <w:pPr>
        <w:spacing w:line="600" w:lineRule="exact"/>
        <w:ind w:firstLine="640" w:firstLineChars="200"/>
        <w:rPr>
          <w:rFonts w:ascii="黑体" w:hAnsi="黑体" w:eastAsia="黑体"/>
        </w:rPr>
      </w:pPr>
      <w:r>
        <w:rPr>
          <w:rFonts w:hint="eastAsia" w:ascii="黑体" w:hAnsi="黑体" w:eastAsia="黑体"/>
        </w:rPr>
        <w:t>二、设立原则</w:t>
      </w:r>
    </w:p>
    <w:p>
      <w:pPr>
        <w:spacing w:line="600" w:lineRule="exact"/>
        <w:ind w:firstLine="640" w:firstLineChars="200"/>
      </w:pPr>
      <w:r>
        <w:rPr>
          <w:rFonts w:hint="eastAsia"/>
        </w:rPr>
        <w:t>坚持育人为本。全面贯彻党的教育方针，培养学生体育精神和运动能力，促进学生健康成长。</w:t>
      </w:r>
    </w:p>
    <w:p>
      <w:pPr>
        <w:spacing w:line="600" w:lineRule="exact"/>
        <w:ind w:firstLine="640" w:firstLineChars="200"/>
      </w:pPr>
      <w:r>
        <w:rPr>
          <w:rFonts w:hint="eastAsia"/>
        </w:rPr>
        <w:t>坚持公益属性。始终把社会效益放在首位，防止过高收费和过度逐利行为。</w:t>
      </w:r>
    </w:p>
    <w:p>
      <w:pPr>
        <w:spacing w:line="600" w:lineRule="exact"/>
        <w:ind w:firstLine="640" w:firstLineChars="200"/>
      </w:pPr>
      <w:r>
        <w:rPr>
          <w:rFonts w:hint="eastAsia"/>
        </w:rPr>
        <w:t>坚持生命至上。坚守安全底线，切实保障师生安全，从源头上防范化解重大安全风险。</w:t>
      </w:r>
    </w:p>
    <w:p>
      <w:pPr>
        <w:spacing w:line="600" w:lineRule="exact"/>
        <w:ind w:firstLine="640" w:firstLineChars="200"/>
        <w:rPr>
          <w:rFonts w:ascii="黑体" w:hAnsi="黑体" w:eastAsia="黑体"/>
        </w:rPr>
      </w:pPr>
      <w:r>
        <w:rPr>
          <w:rFonts w:hint="eastAsia" w:ascii="黑体" w:hAnsi="黑体" w:eastAsia="黑体"/>
        </w:rPr>
        <w:t>三、举办者</w:t>
      </w:r>
    </w:p>
    <w:p>
      <w:pPr>
        <w:spacing w:line="600" w:lineRule="exact"/>
        <w:ind w:firstLine="640" w:firstLineChars="200"/>
      </w:pPr>
      <w:r>
        <w:rPr>
          <w:rFonts w:hint="eastAsia"/>
        </w:rPr>
        <w:t>（一）举办者是社会组织、企业的，应当具备下列条件：</w:t>
      </w:r>
    </w:p>
    <w:p>
      <w:pPr>
        <w:spacing w:line="600" w:lineRule="exact"/>
        <w:ind w:firstLine="640" w:firstLineChars="200"/>
      </w:pPr>
      <w:r>
        <w:rPr>
          <w:rFonts w:hint="eastAsia"/>
        </w:rPr>
        <w:t>1.具有中华人民共和国法人资格；</w:t>
      </w:r>
    </w:p>
    <w:p>
      <w:pPr>
        <w:spacing w:line="600" w:lineRule="exact"/>
        <w:ind w:firstLine="640" w:firstLineChars="200"/>
      </w:pPr>
      <w:r>
        <w:rPr>
          <w:rFonts w:hint="eastAsia"/>
        </w:rPr>
        <w:t>2.信用状况良好，无不良记录，未被列入经营异常名录或严重违法失信单位名单；</w:t>
      </w:r>
    </w:p>
    <w:p>
      <w:pPr>
        <w:spacing w:line="600" w:lineRule="exact"/>
        <w:ind w:firstLine="640" w:firstLineChars="200"/>
      </w:pPr>
      <w:r>
        <w:rPr>
          <w:rFonts w:hint="eastAsia"/>
        </w:rPr>
        <w:t>3.法定代表人具有中华人民共和国国籍，在中国境内定居，信用状况良好，无犯罪记录和教育、体育领域不良从业记录，具有政治权利和完全民事行为能力；</w:t>
      </w:r>
    </w:p>
    <w:p>
      <w:pPr>
        <w:spacing w:line="600" w:lineRule="exact"/>
        <w:ind w:firstLine="640" w:firstLineChars="200"/>
      </w:pPr>
      <w:r>
        <w:rPr>
          <w:rFonts w:hint="eastAsia"/>
        </w:rPr>
        <w:t>4.无境外相关组织和资金背景。</w:t>
      </w:r>
    </w:p>
    <w:p>
      <w:pPr>
        <w:spacing w:line="600" w:lineRule="exact"/>
        <w:ind w:firstLine="640" w:firstLineChars="200"/>
      </w:pPr>
      <w:r>
        <w:rPr>
          <w:rFonts w:hint="eastAsia"/>
        </w:rPr>
        <w:t>（二）举办者是自然人的，应当具备下列条件：</w:t>
      </w:r>
    </w:p>
    <w:p>
      <w:pPr>
        <w:spacing w:line="600" w:lineRule="exact"/>
        <w:ind w:firstLine="640" w:firstLineChars="200"/>
      </w:pPr>
      <w:r>
        <w:rPr>
          <w:rFonts w:hint="eastAsia"/>
        </w:rPr>
        <w:t>1.具有中华人民共和国国籍，在中国境内定居；</w:t>
      </w:r>
    </w:p>
    <w:p>
      <w:pPr>
        <w:spacing w:line="600" w:lineRule="exact"/>
        <w:ind w:firstLine="640" w:firstLineChars="200"/>
      </w:pPr>
      <w:r>
        <w:rPr>
          <w:rFonts w:hint="eastAsia"/>
        </w:rPr>
        <w:t>2.信用状况良好，无犯罪记录和教育、体育领域不良从业记录；</w:t>
      </w:r>
    </w:p>
    <w:p>
      <w:pPr>
        <w:spacing w:line="600" w:lineRule="exact"/>
        <w:ind w:firstLine="640" w:firstLineChars="200"/>
      </w:pPr>
      <w:r>
        <w:rPr>
          <w:rFonts w:hint="eastAsia"/>
        </w:rPr>
        <w:t>3.具有政治权利和完全民事行为能力。</w:t>
      </w:r>
    </w:p>
    <w:p>
      <w:pPr>
        <w:spacing w:line="600" w:lineRule="exact"/>
        <w:ind w:firstLine="640" w:firstLineChars="200"/>
      </w:pPr>
      <w:r>
        <w:rPr>
          <w:rFonts w:hint="eastAsia"/>
        </w:rPr>
        <w:t>（三）联合举办体育类培训机构的，应当签订联合办学协议，明确合作方式、办学宗旨、培养目标以及各方权利义务和争议解决方式等。</w:t>
      </w:r>
    </w:p>
    <w:p>
      <w:pPr>
        <w:spacing w:line="600" w:lineRule="exact"/>
        <w:ind w:firstLine="640" w:firstLineChars="200"/>
      </w:pPr>
      <w:r>
        <w:rPr>
          <w:rFonts w:hint="eastAsia"/>
        </w:rPr>
        <w:t>（四）境外投资企业以及境外方为实际控制人的社会组织举办体育类培训机构的，应符合我国有关法律、法规和规章的规定。</w:t>
      </w:r>
    </w:p>
    <w:p>
      <w:pPr>
        <w:spacing w:line="600" w:lineRule="exact"/>
        <w:ind w:firstLine="640" w:firstLineChars="200"/>
      </w:pPr>
      <w:r>
        <w:rPr>
          <w:rFonts w:hint="eastAsia"/>
        </w:rPr>
        <w:t>（五）鼓励和支持省优秀运动队退役运动员充分发挥专业特长，开展体育类校外培训工作。</w:t>
      </w:r>
    </w:p>
    <w:p>
      <w:pPr>
        <w:spacing w:line="600" w:lineRule="exact"/>
        <w:ind w:firstLine="640" w:firstLineChars="200"/>
        <w:rPr>
          <w:highlight w:val="yellow"/>
        </w:rPr>
      </w:pPr>
      <w:r>
        <w:rPr>
          <w:rFonts w:hint="eastAsia"/>
        </w:rPr>
        <w:t>（六）中小学校（园）及其在职教职工不得举办或参与举办体育类校外培训机构。</w:t>
      </w:r>
    </w:p>
    <w:p>
      <w:pPr>
        <w:spacing w:line="600" w:lineRule="exact"/>
        <w:ind w:firstLine="640" w:firstLineChars="200"/>
        <w:rPr>
          <w:rFonts w:ascii="黑体" w:hAnsi="黑体" w:eastAsia="黑体"/>
        </w:rPr>
      </w:pPr>
      <w:r>
        <w:rPr>
          <w:rFonts w:hint="eastAsia" w:ascii="黑体" w:hAnsi="黑体" w:eastAsia="黑体"/>
        </w:rPr>
        <w:t>四、名称与章程</w:t>
      </w:r>
    </w:p>
    <w:p>
      <w:pPr>
        <w:spacing w:line="600" w:lineRule="exact"/>
        <w:ind w:firstLine="640" w:firstLineChars="200"/>
      </w:pPr>
      <w:r>
        <w:rPr>
          <w:rFonts w:hint="eastAsia"/>
        </w:rPr>
        <w:t>（一）体育类培训机构名称应当符合《企业名称登记管理规定》《民办非企业单位名称管理暂行规定》等国家行政法规及相关政策规定，载明“培训”字样。同一培训机构只能使用一个名称。</w:t>
      </w:r>
    </w:p>
    <w:p>
      <w:pPr>
        <w:spacing w:line="600" w:lineRule="exact"/>
        <w:ind w:firstLine="640" w:firstLineChars="200"/>
      </w:pPr>
      <w:r>
        <w:rPr>
          <w:rFonts w:hint="eastAsia"/>
        </w:rPr>
        <w:t>1.不得冠以“国际”“世界”“全球”“中国”“全国”“中华”“西南”等大区域字样；</w:t>
      </w:r>
    </w:p>
    <w:p>
      <w:pPr>
        <w:spacing w:line="600" w:lineRule="exact"/>
        <w:ind w:firstLine="640" w:firstLineChars="200"/>
      </w:pPr>
      <w:r>
        <w:rPr>
          <w:rFonts w:hint="eastAsia"/>
        </w:rPr>
        <w:t>2.不得包含中小学校（园）、大学名称或简称；</w:t>
      </w:r>
    </w:p>
    <w:p>
      <w:pPr>
        <w:spacing w:line="600" w:lineRule="exact"/>
        <w:ind w:firstLine="640" w:firstLineChars="200"/>
      </w:pPr>
      <w:r>
        <w:rPr>
          <w:rFonts w:hint="eastAsia"/>
        </w:rPr>
        <w:t>3.不得使用可能对公众造成误解、引发歧义的内容和文字；</w:t>
      </w:r>
    </w:p>
    <w:p>
      <w:pPr>
        <w:spacing w:line="600" w:lineRule="exact"/>
        <w:ind w:firstLine="640" w:firstLineChars="200"/>
      </w:pPr>
      <w:r>
        <w:rPr>
          <w:rFonts w:hint="eastAsia"/>
        </w:rPr>
        <w:t>4.不得利用中小学校（园）品牌开展商业活动；</w:t>
      </w:r>
    </w:p>
    <w:p>
      <w:pPr>
        <w:spacing w:line="600" w:lineRule="exact"/>
        <w:ind w:firstLine="640" w:firstLineChars="200"/>
      </w:pPr>
      <w:r>
        <w:rPr>
          <w:rFonts w:hint="eastAsia"/>
        </w:rPr>
        <w:t>5.对外使用的名称应与批准的名称一致。</w:t>
      </w:r>
    </w:p>
    <w:p>
      <w:pPr>
        <w:spacing w:line="600" w:lineRule="exact"/>
        <w:ind w:firstLine="640" w:firstLineChars="200"/>
      </w:pPr>
      <w:r>
        <w:rPr>
          <w:rFonts w:hint="eastAsia"/>
        </w:rPr>
        <w:t>（二）体育类培训机构应当依法制定章程，章程内容应符合《中华人民共和国公司法》《民办非企业单位登记管理暂行条例》等法律、法规和规章规定。章程应当载明下列事项:</w:t>
      </w:r>
    </w:p>
    <w:p>
      <w:pPr>
        <w:spacing w:line="600" w:lineRule="exact"/>
        <w:ind w:firstLine="640" w:firstLineChars="200"/>
      </w:pPr>
      <w:r>
        <w:rPr>
          <w:rFonts w:hint="eastAsia"/>
        </w:rPr>
        <w:t>1.机构的名称、住所、办学地址、法人属性；</w:t>
      </w:r>
    </w:p>
    <w:p>
      <w:pPr>
        <w:spacing w:line="600" w:lineRule="exact"/>
        <w:ind w:firstLine="640" w:firstLineChars="200"/>
      </w:pPr>
      <w:r>
        <w:rPr>
          <w:rFonts w:hint="eastAsia"/>
        </w:rPr>
        <w:t>2.举办者的权利义务，举办者变更、权益转让的办法；</w:t>
      </w:r>
    </w:p>
    <w:p>
      <w:pPr>
        <w:spacing w:line="600" w:lineRule="exact"/>
        <w:ind w:firstLine="640" w:firstLineChars="200"/>
      </w:pPr>
      <w:r>
        <w:rPr>
          <w:rFonts w:hint="eastAsia"/>
        </w:rPr>
        <w:t>3.办学宗旨、发展定位、层次、类型、规模、形式等；</w:t>
      </w:r>
    </w:p>
    <w:p>
      <w:pPr>
        <w:spacing w:line="600" w:lineRule="exact"/>
        <w:ind w:firstLine="640" w:firstLineChars="200"/>
      </w:pPr>
      <w:r>
        <w:rPr>
          <w:rFonts w:hint="eastAsia"/>
        </w:rPr>
        <w:t>4.机构开办资金、资产的数额、来源、性质等以及财务制度；</w:t>
      </w:r>
    </w:p>
    <w:p>
      <w:pPr>
        <w:spacing w:line="600" w:lineRule="exact"/>
        <w:ind w:firstLine="640" w:firstLineChars="200"/>
      </w:pPr>
      <w:r>
        <w:rPr>
          <w:rFonts w:hint="eastAsia"/>
        </w:rPr>
        <w:t>5.理事会、董事会或者其他形式决策机构和监督机构的产生方法、人员构成、任期、议事规则等；</w:t>
      </w:r>
    </w:p>
    <w:p>
      <w:pPr>
        <w:spacing w:line="600" w:lineRule="exact"/>
        <w:ind w:firstLine="640" w:firstLineChars="200"/>
      </w:pPr>
      <w:r>
        <w:rPr>
          <w:rFonts w:hint="eastAsia"/>
        </w:rPr>
        <w:t>6.机构党的建设和党组织负责人或者代表进入决策机构和监督机构的程序；</w:t>
      </w:r>
    </w:p>
    <w:p>
      <w:pPr>
        <w:spacing w:line="600" w:lineRule="exact"/>
        <w:ind w:firstLine="640" w:firstLineChars="200"/>
      </w:pPr>
      <w:r>
        <w:rPr>
          <w:rFonts w:hint="eastAsia"/>
        </w:rPr>
        <w:t>7.机构法定代表人的产生及罢免程序；</w:t>
      </w:r>
    </w:p>
    <w:p>
      <w:pPr>
        <w:spacing w:line="600" w:lineRule="exact"/>
        <w:ind w:firstLine="640" w:firstLineChars="200"/>
      </w:pPr>
      <w:r>
        <w:rPr>
          <w:rFonts w:hint="eastAsia"/>
        </w:rPr>
        <w:t>8.机构自行终止的事由，剩余资产处置的办法与程序；</w:t>
      </w:r>
    </w:p>
    <w:p>
      <w:pPr>
        <w:spacing w:line="600" w:lineRule="exact"/>
        <w:ind w:firstLine="640" w:firstLineChars="200"/>
      </w:pPr>
      <w:r>
        <w:rPr>
          <w:rFonts w:hint="eastAsia"/>
        </w:rPr>
        <w:t>9.章程修改程序；</w:t>
      </w:r>
    </w:p>
    <w:p>
      <w:pPr>
        <w:pStyle w:val="5"/>
        <w:spacing w:line="600" w:lineRule="exact"/>
        <w:ind w:firstLine="640"/>
        <w:rPr>
          <w:rFonts w:hint="default" w:ascii="Times New Roman" w:hAnsi="Times New Roman" w:eastAsia="仿宋_GB2312"/>
        </w:rPr>
      </w:pPr>
      <w:r>
        <w:rPr>
          <w:rFonts w:ascii="Times New Roman" w:hAnsi="Times New Roman" w:eastAsia="仿宋_GB2312"/>
        </w:rPr>
        <w:t>10.法律、法规和规章规定的其他事项。</w:t>
      </w:r>
    </w:p>
    <w:p>
      <w:pPr>
        <w:spacing w:line="600" w:lineRule="exact"/>
        <w:ind w:firstLine="640" w:firstLineChars="200"/>
      </w:pPr>
      <w:r>
        <w:rPr>
          <w:rFonts w:hint="eastAsia"/>
        </w:rPr>
        <w:t>（三）体育类培训机构应当制定并完善教学管理制度、安全管理与卫生防疫制度、从业人员管理制度、学员管理制度、培训材料管理制度、档案管理制度、资产和财务管理制度、收费和退费管理制度、设施设备管理制度、教练培训和考核制度、课程备案和公示制度等规章制度。</w:t>
      </w:r>
    </w:p>
    <w:p>
      <w:pPr>
        <w:spacing w:line="600" w:lineRule="exact"/>
        <w:ind w:firstLine="640" w:firstLineChars="200"/>
        <w:rPr>
          <w:rFonts w:ascii="黑体" w:hAnsi="黑体" w:eastAsia="黑体"/>
        </w:rPr>
      </w:pPr>
      <w:r>
        <w:rPr>
          <w:rFonts w:hint="eastAsia" w:ascii="黑体" w:hAnsi="黑体" w:eastAsia="黑体"/>
        </w:rPr>
        <w:t>五、开办资金</w:t>
      </w:r>
    </w:p>
    <w:p>
      <w:pPr>
        <w:spacing w:line="600" w:lineRule="exact"/>
        <w:ind w:firstLine="640" w:firstLineChars="200"/>
      </w:pPr>
      <w:r>
        <w:rPr>
          <w:rFonts w:hint="eastAsia"/>
        </w:rPr>
        <w:t>（一）体育类培训机构应当具有稳定的办学经费来源，开办资金（注册资本）应当与培训形式、培训项目、培训规模相适应，符合《中华人民共和国公司法》《民办非企业单位登记管理暂行条例》等相关法律法规要求。</w:t>
      </w:r>
    </w:p>
    <w:p>
      <w:pPr>
        <w:spacing w:line="600" w:lineRule="exact"/>
        <w:ind w:firstLine="640" w:firstLineChars="200"/>
      </w:pPr>
      <w:r>
        <w:rPr>
          <w:rFonts w:hint="eastAsia"/>
        </w:rPr>
        <w:t>（二）体育类培训机构正式设立时，开办资金（注册资本）原则上不低于30万元人民币。以货币出资的，应当足额存入机构监管账户；以非货币财产出资的，应提供有资质机构出具的资产评估报告，且依法及时办理财产权转移手续。</w:t>
      </w:r>
    </w:p>
    <w:p>
      <w:pPr>
        <w:spacing w:line="600" w:lineRule="exact"/>
        <w:ind w:firstLine="640" w:firstLineChars="200"/>
      </w:pPr>
      <w:r>
        <w:rPr>
          <w:rFonts w:hint="eastAsia"/>
        </w:rPr>
        <w:t>（三）财政性经费不得作为举办者开办资金（注册资本）。以国有资产作为开办资金（注册资本）的，应当符合国有资产监督管理等相关规定。</w:t>
      </w:r>
    </w:p>
    <w:p>
      <w:pPr>
        <w:spacing w:line="600" w:lineRule="exact"/>
        <w:ind w:firstLine="640" w:firstLineChars="200"/>
        <w:rPr>
          <w:rFonts w:ascii="黑体" w:hAnsi="黑体" w:eastAsia="黑体"/>
        </w:rPr>
      </w:pPr>
      <w:r>
        <w:rPr>
          <w:rFonts w:hint="eastAsia" w:ascii="黑体" w:hAnsi="黑体" w:eastAsia="黑体"/>
        </w:rPr>
        <w:t>六、场地设施</w:t>
      </w:r>
    </w:p>
    <w:p>
      <w:pPr>
        <w:spacing w:line="600" w:lineRule="exact"/>
        <w:ind w:firstLine="640" w:firstLineChars="200"/>
      </w:pPr>
      <w:r>
        <w:rPr>
          <w:rFonts w:hint="eastAsia"/>
        </w:rPr>
        <w:t>（一）体育类培训机构应当具有与培训项目、培训规模相适应的独立使用场所，并取得合法的产权或使用权。以租用场所开办的，应提供具有法律效力的租赁合同（协议），租赁合同（协议）中应明确双方消防安全责任，租赁期限自申请开办之日起不得少于2年。</w:t>
      </w:r>
    </w:p>
    <w:p>
      <w:pPr>
        <w:spacing w:line="600" w:lineRule="exact"/>
        <w:ind w:firstLine="640" w:firstLineChars="200"/>
      </w:pPr>
      <w:r>
        <w:rPr>
          <w:rFonts w:hint="eastAsia"/>
        </w:rPr>
        <w:t>（二）体育类培训机构培训场所必须符合国家和省关于中小学消防、住建、环保、卫生等法律法规及政策规定，符合《教育部办公厅 应急管理部办公厅关于印发〈校外培训机构消防安全管理九项规定〉的通知》《四川省住房和城乡建设厅 四川省教育厅 四川省消防救援总队关于规范校外培训机构建设工程消防设计审查验收工作的通知》等要求，依法依规通过房屋安全鉴定，取得消防设计审查验收手续。培训机构不得擅自变更建筑用途和使用功能、擅自改变承重结构。不得使用工业厂房、居民住宅、简易建筑、临时建筑、危房、地下室、半地下室、仓库、车库、夹层、违章建筑及其他有安全隐患的场所，不得租用消防设计审查验收手续不全的场所，不得租赁或借用中小学校（园）校舍、场地办学，不得与不利于学生学习和身心健康以及危及学生安全的场所毗邻。用于3—6岁学龄前儿童培训的场所不得超过建筑物3层，用于小学生培训的场所不得超过建筑物4层，用于中学生培训的场所不得超过建筑物5层，并符合相关技术标准要求。</w:t>
      </w:r>
    </w:p>
    <w:p>
      <w:pPr>
        <w:spacing w:line="600" w:lineRule="exact"/>
        <w:ind w:firstLine="640" w:firstLineChars="200"/>
      </w:pPr>
      <w:r>
        <w:rPr>
          <w:rFonts w:hint="eastAsia"/>
        </w:rPr>
        <w:t>（三）体育类培训机构的办学场所面积应当与培训内容和规模相适应。其中，培训场地面积应不少于办学场所面积的2</w:t>
      </w:r>
      <w:r>
        <w:rPr>
          <w:rFonts w:hint="eastAsia"/>
          <w:lang w:val="en"/>
        </w:rPr>
        <w:t>/3。室外运动场地应符合国家相关标准。</w:t>
      </w:r>
      <w:r>
        <w:rPr>
          <w:rFonts w:hint="eastAsia"/>
        </w:rPr>
        <w:t>同一培训时段内棋牌类体育项目生均面积不低于3平方米，其他体育项目生均面积原则上不低于5平方米，确保保持合理间距，不拥挤、易疏散。</w:t>
      </w:r>
    </w:p>
    <w:p>
      <w:pPr>
        <w:spacing w:line="600" w:lineRule="exact"/>
        <w:ind w:firstLine="640" w:firstLineChars="200"/>
      </w:pPr>
      <w:r>
        <w:rPr>
          <w:rFonts w:hint="eastAsia"/>
        </w:rPr>
        <w:t>（四）体育类培训机构应具有与所开展培训项目相适应的、符合国家（生产和使用）标准的设施设备和器材等。室内项目要按照采光和照明有关标准，落实好青少年近视防控要求。培训场地设施设备要按照国家有关体育场地、设施设备、器材的标准建设。开展高危险性体育项目培训的场地设施应达到国家标准规定的体育场所开放条件和技术要求。</w:t>
      </w:r>
    </w:p>
    <w:p>
      <w:pPr>
        <w:spacing w:line="600" w:lineRule="exact"/>
        <w:ind w:firstLine="640" w:firstLineChars="200"/>
      </w:pPr>
      <w:r>
        <w:rPr>
          <w:rFonts w:hint="eastAsia"/>
        </w:rPr>
        <w:t>（五）体育类培训机构办学场所必须达到中小学校（园）安全要求，开展培训的室内、外场所应设置视频图像采集装置，采集和回访视频图像能清晰辨认人员体貌特征，原则上信息存储时间不得少于60日。各类安全制度、安全注意事项和特殊要求、平面示意图及疏散通道指示图等应当悬挂在明显位置；设置醒目的安全指示标志，并确保安全疏散通道畅通。加强对从业人员进行设施操作、消防安全、应急救护等方面培训；制定事故应急处置预案并至少半年开展一次应急处置演练；通过为教练员和参训人员购买人身安全保险等方式，防范和化解安全事故风险。</w:t>
      </w:r>
    </w:p>
    <w:p>
      <w:pPr>
        <w:spacing w:line="600" w:lineRule="exact"/>
        <w:ind w:firstLine="640" w:firstLineChars="200"/>
      </w:pPr>
      <w:r>
        <w:rPr>
          <w:rFonts w:hint="eastAsia"/>
        </w:rPr>
        <w:t>（六）体育类培训机构应配备常规医疗急救药品及设备，配备自动体外除颤器（AED）并能正确使用，定期对场馆进行通风换气，保持空气清新、无异味。</w:t>
      </w:r>
    </w:p>
    <w:p>
      <w:pPr>
        <w:spacing w:line="600" w:lineRule="exact"/>
        <w:ind w:firstLine="640" w:firstLineChars="200"/>
      </w:pPr>
      <w:r>
        <w:rPr>
          <w:rFonts w:hint="eastAsia"/>
        </w:rPr>
        <w:t>（七）体育类培训机构办学场所应当达到当地防疫部门的防疫要求，落实疫情防控主体责任，落实培训场所各项防控措施，做好教室等重点场所卫生防疫管理，保障教员和学员身体健康。</w:t>
      </w:r>
    </w:p>
    <w:p>
      <w:pPr>
        <w:spacing w:line="600" w:lineRule="exact"/>
        <w:ind w:firstLine="640" w:firstLineChars="200"/>
        <w:rPr>
          <w:rFonts w:ascii="黑体" w:hAnsi="黑体" w:eastAsia="黑体"/>
        </w:rPr>
      </w:pPr>
      <w:r>
        <w:rPr>
          <w:rFonts w:hint="eastAsia" w:ascii="黑体" w:hAnsi="黑体" w:eastAsia="黑体"/>
        </w:rPr>
        <w:t>七、从业人员</w:t>
      </w:r>
    </w:p>
    <w:p>
      <w:pPr>
        <w:spacing w:line="600" w:lineRule="exact"/>
        <w:ind w:firstLine="640" w:firstLineChars="200"/>
        <w:rPr>
          <w:rFonts w:ascii="楷体_GB2312" w:eastAsia="楷体_GB2312"/>
        </w:rPr>
      </w:pPr>
      <w:r>
        <w:rPr>
          <w:rFonts w:hint="eastAsia" w:ascii="楷体_GB2312" w:eastAsia="楷体_GB2312"/>
        </w:rPr>
        <w:t>（一）基本条件</w:t>
      </w:r>
    </w:p>
    <w:p>
      <w:pPr>
        <w:spacing w:line="600" w:lineRule="exact"/>
        <w:ind w:firstLine="640" w:firstLineChars="200"/>
      </w:pPr>
      <w:r>
        <w:rPr>
          <w:rFonts w:hint="eastAsia"/>
        </w:rPr>
        <w:t>1.体育类培训机构应贯彻党的教育、体育方针，弘扬社会主义核心价值观和中华体育精神，具有良好思想品德和职业道德、身心健康的专职管理人员和专兼职教学人员队伍，实名上岗。</w:t>
      </w:r>
    </w:p>
    <w:p>
      <w:pPr>
        <w:spacing w:line="600" w:lineRule="exact"/>
        <w:ind w:firstLine="640" w:firstLineChars="200"/>
      </w:pPr>
      <w:r>
        <w:rPr>
          <w:rFonts w:hint="eastAsia"/>
        </w:rPr>
        <w:t>2.体育类培训机构聘用教练应具备以下条件之一：</w:t>
      </w:r>
    </w:p>
    <w:p>
      <w:pPr>
        <w:spacing w:line="600" w:lineRule="exact"/>
        <w:ind w:firstLine="640" w:firstLineChars="200"/>
      </w:pPr>
      <w:r>
        <w:rPr>
          <w:rFonts w:hint="eastAsia"/>
        </w:rPr>
        <w:t>（1）具有体育教练员系列职称；</w:t>
      </w:r>
    </w:p>
    <w:p>
      <w:pPr>
        <w:spacing w:line="600" w:lineRule="exact"/>
        <w:ind w:firstLine="640" w:firstLineChars="200"/>
      </w:pPr>
      <w:r>
        <w:rPr>
          <w:rFonts w:hint="eastAsia"/>
        </w:rPr>
        <w:t>（2）具有二级及以上社会体育指导员职业资格证书；</w:t>
      </w:r>
    </w:p>
    <w:p>
      <w:pPr>
        <w:spacing w:line="600" w:lineRule="exact"/>
        <w:ind w:firstLine="640" w:firstLineChars="200"/>
      </w:pPr>
      <w:r>
        <w:rPr>
          <w:rFonts w:hint="eastAsia"/>
        </w:rPr>
        <w:t>（3）具有体育类教师资格证；</w:t>
      </w:r>
    </w:p>
    <w:p>
      <w:pPr>
        <w:spacing w:line="600" w:lineRule="exact"/>
        <w:ind w:firstLine="640" w:firstLineChars="200"/>
      </w:pPr>
      <w:r>
        <w:rPr>
          <w:rFonts w:hint="eastAsia"/>
        </w:rPr>
        <w:t>（4）全国性单项体育协会颁发的体育教练（员）等级证书；</w:t>
      </w:r>
    </w:p>
    <w:p>
      <w:pPr>
        <w:spacing w:line="600" w:lineRule="exact"/>
        <w:ind w:firstLine="640" w:firstLineChars="200"/>
      </w:pPr>
      <w:r>
        <w:rPr>
          <w:rFonts w:hint="eastAsia"/>
        </w:rPr>
        <w:t>（5）具有经人力资源和社会保障部确定的人才评价机构颁发的体育职业技能等级证书；</w:t>
      </w:r>
    </w:p>
    <w:p>
      <w:pPr>
        <w:spacing w:line="600" w:lineRule="exact"/>
        <w:ind w:firstLine="640" w:firstLineChars="200"/>
      </w:pPr>
      <w:r>
        <w:rPr>
          <w:rFonts w:hint="eastAsia"/>
        </w:rPr>
        <w:t>（6）具有经省级及以上体育项目管理单位认可的相关证书和证明。</w:t>
      </w:r>
    </w:p>
    <w:p>
      <w:pPr>
        <w:spacing w:line="600" w:lineRule="exact"/>
        <w:ind w:firstLine="640" w:firstLineChars="200"/>
        <w:rPr>
          <w:rFonts w:ascii="楷体_GB2312" w:eastAsia="楷体_GB2312"/>
        </w:rPr>
      </w:pPr>
      <w:r>
        <w:rPr>
          <w:rFonts w:hint="eastAsia" w:ascii="楷体_GB2312" w:eastAsia="楷体_GB2312"/>
        </w:rPr>
        <w:t>（二）人员配备</w:t>
      </w:r>
    </w:p>
    <w:p>
      <w:pPr>
        <w:spacing w:line="600" w:lineRule="exact"/>
        <w:ind w:firstLine="640" w:firstLineChars="200"/>
      </w:pPr>
      <w:r>
        <w:rPr>
          <w:rFonts w:hint="eastAsia"/>
        </w:rPr>
        <w:t>1.体育类培训机构应配备与自身规模适应数量的执教人员，按照体育项目特点和培训规模控制学员和执教人员配比。原则上每班次培训的学员人数不得超过35人，超过10名学员的培训应至少配有2名执教人员。开展高危体育项目的培训机构从业人员必须具备国家规定的职业资格。</w:t>
      </w:r>
    </w:p>
    <w:p>
      <w:pPr>
        <w:pStyle w:val="5"/>
        <w:spacing w:line="600" w:lineRule="exact"/>
        <w:ind w:firstLine="640"/>
        <w:rPr>
          <w:rFonts w:hint="default" w:ascii="Times New Roman" w:hAnsi="Times New Roman" w:eastAsia="仿宋_GB2312"/>
          <w:highlight w:val="yellow"/>
        </w:rPr>
      </w:pPr>
      <w:r>
        <w:rPr>
          <w:rFonts w:ascii="Times New Roman" w:hAnsi="Times New Roman" w:eastAsia="仿宋_GB2312"/>
        </w:rPr>
        <w:t>2.体育类培训机构应配备具有专业能力的财务人员，会计和出纳不得兼任。应当按照相关规定配备安全管理人员，履行安全管理职责，落实安全防范措施。</w:t>
      </w:r>
    </w:p>
    <w:p>
      <w:pPr>
        <w:spacing w:line="600" w:lineRule="exact"/>
        <w:ind w:firstLine="640" w:firstLineChars="200"/>
        <w:rPr>
          <w:rFonts w:ascii="楷体_GB2312" w:eastAsia="楷体_GB2312"/>
        </w:rPr>
      </w:pPr>
      <w:r>
        <w:rPr>
          <w:rFonts w:hint="eastAsia" w:ascii="楷体_GB2312" w:eastAsia="楷体_GB2312"/>
        </w:rPr>
        <w:t>（三）人员管理</w:t>
      </w:r>
    </w:p>
    <w:p>
      <w:pPr>
        <w:pStyle w:val="5"/>
        <w:spacing w:line="600" w:lineRule="exact"/>
        <w:ind w:firstLine="640"/>
        <w:rPr>
          <w:rFonts w:hint="default" w:ascii="Times New Roman" w:hAnsi="Times New Roman" w:eastAsia="仿宋_GB2312"/>
        </w:rPr>
      </w:pPr>
      <w:r>
        <w:rPr>
          <w:rFonts w:ascii="Times New Roman" w:hAnsi="Times New Roman" w:eastAsia="仿宋_GB2312"/>
        </w:rPr>
        <w:t>1.体育类培训机构应对拟招用人员和劳务派遣单位拟派遣至机构场所工作的人员进行性侵等违法犯罪信息查询，建立教员电子档案，实行实名制管理。教学、教研人员的基本信息（姓名、照片等）、教师资格、从教经历、任教课程、课程收费等信息应在机构培训场所及“四川省校外培训机构信息管理平台”（以下简称“平台”）、官方网站显著位置公示；其他从业人员信息应在机构内部进行公示。</w:t>
      </w:r>
    </w:p>
    <w:p>
      <w:pPr>
        <w:spacing w:line="600" w:lineRule="exact"/>
        <w:ind w:firstLine="640" w:firstLineChars="200"/>
      </w:pPr>
      <w:r>
        <w:rPr>
          <w:rFonts w:hint="eastAsia"/>
        </w:rPr>
        <w:t>2.体育类培训机构应当与所聘人员依法签订聘用合同、劳动合同或劳务协议。依法保障教职工的工资、福利待遇和其他合法权益，为教职工缴纳符合相关规定的各项社会保险，保障其工资福利待遇和其他合法权益。对初次招用人员，应当开展岗位培训</w:t>
      </w:r>
      <w:r>
        <w:t>并取得合格证明</w:t>
      </w:r>
      <w:r>
        <w:rPr>
          <w:rFonts w:hint="eastAsia"/>
        </w:rPr>
        <w:t>。</w:t>
      </w:r>
    </w:p>
    <w:p>
      <w:pPr>
        <w:spacing w:line="600" w:lineRule="exact"/>
        <w:ind w:firstLine="640" w:firstLineChars="200"/>
        <w:rPr>
          <w:rFonts w:ascii="楷体_GB2312" w:eastAsia="楷体_GB2312"/>
        </w:rPr>
      </w:pPr>
      <w:r>
        <w:rPr>
          <w:rFonts w:hint="eastAsia" w:ascii="楷体_GB2312" w:eastAsia="楷体_GB2312"/>
        </w:rPr>
        <w:t>（四）体育类培训机构不得聘用下列人员：</w:t>
      </w:r>
    </w:p>
    <w:p>
      <w:pPr>
        <w:spacing w:line="600" w:lineRule="exact"/>
        <w:ind w:firstLine="640" w:firstLineChars="200"/>
      </w:pPr>
      <w:r>
        <w:rPr>
          <w:rFonts w:hint="eastAsia"/>
        </w:rPr>
        <w:t>1.中小学校（园）在职教职工；</w:t>
      </w:r>
    </w:p>
    <w:p>
      <w:pPr>
        <w:spacing w:line="600" w:lineRule="exact"/>
        <w:ind w:firstLine="640" w:firstLineChars="200"/>
      </w:pPr>
      <w:r>
        <w:rPr>
          <w:rFonts w:hint="eastAsia"/>
        </w:rPr>
        <w:t>2.纳入“校外培训机构从业人员黑名单”管理的人员；</w:t>
      </w:r>
    </w:p>
    <w:p>
      <w:pPr>
        <w:spacing w:line="600" w:lineRule="exact"/>
        <w:ind w:firstLine="640" w:firstLineChars="200"/>
      </w:pPr>
      <w:r>
        <w:rPr>
          <w:rFonts w:hint="eastAsia"/>
        </w:rPr>
        <w:t>3.受到剥夺政治权利或者故意犯罪受到有期徒刑以上刑事处罚的人员；</w:t>
      </w:r>
    </w:p>
    <w:p>
      <w:pPr>
        <w:pStyle w:val="2"/>
        <w:spacing w:before="0" w:line="600" w:lineRule="exact"/>
        <w:ind w:left="0" w:firstLine="640" w:firstLineChars="200"/>
        <w:rPr>
          <w:rFonts w:ascii="Times New Roman" w:hAnsi="Times New Roman" w:eastAsia="仿宋_GB2312" w:cs="Times New Roman"/>
          <w:b w:val="0"/>
          <w:bCs w:val="0"/>
        </w:rPr>
      </w:pPr>
      <w:r>
        <w:rPr>
          <w:rFonts w:hint="eastAsia" w:ascii="Times New Roman" w:hAnsi="Times New Roman" w:eastAsia="仿宋_GB2312" w:cs="Times New Roman"/>
          <w:b w:val="0"/>
          <w:bCs w:val="0"/>
        </w:rPr>
        <w:t>4.因危害未成年人的违法犯罪行为受到治安管理处罚或者管制、拘役等刑事处罚的人员；</w:t>
      </w:r>
    </w:p>
    <w:p>
      <w:pPr>
        <w:spacing w:line="600" w:lineRule="exact"/>
        <w:ind w:firstLine="640" w:firstLineChars="200"/>
      </w:pPr>
      <w:r>
        <w:rPr>
          <w:rFonts w:hint="eastAsia"/>
        </w:rPr>
        <w:t>5.其他不适宜在培训机构工作的人员。</w:t>
      </w:r>
    </w:p>
    <w:p>
      <w:pPr>
        <w:spacing w:line="600" w:lineRule="exact"/>
        <w:ind w:firstLine="640" w:firstLineChars="200"/>
        <w:rPr>
          <w:rFonts w:ascii="黑体" w:hAnsi="黑体" w:eastAsia="黑体"/>
        </w:rPr>
      </w:pPr>
      <w:r>
        <w:rPr>
          <w:rFonts w:hint="eastAsia" w:ascii="黑体" w:hAnsi="黑体" w:eastAsia="黑体"/>
        </w:rPr>
        <w:t>八、组织机构</w:t>
      </w:r>
    </w:p>
    <w:p>
      <w:pPr>
        <w:spacing w:line="600" w:lineRule="exact"/>
        <w:ind w:firstLine="640" w:firstLineChars="200"/>
      </w:pPr>
      <w:r>
        <w:rPr>
          <w:rFonts w:hint="eastAsia" w:ascii="楷体_GB2312" w:eastAsia="楷体_GB2312"/>
        </w:rPr>
        <w:t>（一）决策机构。</w:t>
      </w:r>
      <w:r>
        <w:rPr>
          <w:rFonts w:hint="eastAsia"/>
        </w:rPr>
        <w:t>体育类培训机构应当依法设立决策机构，由举办者或者其代表、党组织负责人、行政负责人、教职工代表等人员组成。三分之一以上的决策机构成员应当具有5年以上教育教学经验。有犯罪记录和教育、体育领域不良从业记录者不得在决策机构任职。</w:t>
      </w:r>
    </w:p>
    <w:p>
      <w:pPr>
        <w:spacing w:line="600" w:lineRule="exact"/>
        <w:ind w:firstLine="640" w:firstLineChars="200"/>
      </w:pPr>
      <w:r>
        <w:rPr>
          <w:rFonts w:hint="eastAsia" w:ascii="楷体_GB2312" w:eastAsia="楷体_GB2312"/>
        </w:rPr>
        <w:t>（二）监督机构。</w:t>
      </w:r>
      <w:r>
        <w:rPr>
          <w:rFonts w:hint="eastAsia"/>
        </w:rPr>
        <w:t>体育类培训机构应当建立监督机构，依法行使监督职权。监督机构应当有党的基层组织代表，且教职工代表不少于1/3。教职工人数少于20人的可以只设1至2名监事。决策机构组成人员及其近亲属、财务负责人不得兼任、担任监督机构成员或者监事。</w:t>
      </w:r>
    </w:p>
    <w:p>
      <w:pPr>
        <w:spacing w:line="600" w:lineRule="exact"/>
        <w:ind w:firstLine="640" w:firstLineChars="200"/>
      </w:pPr>
      <w:r>
        <w:rPr>
          <w:rFonts w:hint="eastAsia" w:ascii="楷体_GB2312" w:eastAsia="楷体_GB2312"/>
        </w:rPr>
        <w:t>（三）行政负责人。</w:t>
      </w:r>
      <w:r>
        <w:rPr>
          <w:rFonts w:hint="eastAsia"/>
        </w:rPr>
        <w:t>体育类培训机构行政负责人，应当具有中华人民共和国国籍，在中华人民共和国境内定居，具有政治权利和完全民事行为能力，大学专科及以上学历，具有3年以上教育从业管理经验和良好业绩，无犯罪记录和教育、体育领域不良从业记录，身体健康，年龄不超过70周岁。</w:t>
      </w:r>
    </w:p>
    <w:p>
      <w:pPr>
        <w:spacing w:line="600" w:lineRule="exact"/>
        <w:ind w:firstLine="640" w:firstLineChars="200"/>
      </w:pPr>
      <w:r>
        <w:rPr>
          <w:rFonts w:hint="eastAsia" w:ascii="楷体_GB2312" w:eastAsia="楷体_GB2312"/>
        </w:rPr>
        <w:t>（四）法定代表人。</w:t>
      </w:r>
      <w:r>
        <w:rPr>
          <w:rFonts w:hint="eastAsia"/>
        </w:rPr>
        <w:t>体育类培训机构的法定代表人应当依照法律、法规、规章及机构章程的规定，由决策机构负责人或者行政负责人担任。</w:t>
      </w:r>
    </w:p>
    <w:p>
      <w:pPr>
        <w:spacing w:line="600" w:lineRule="exact"/>
        <w:ind w:firstLine="640" w:firstLineChars="200"/>
        <w:rPr>
          <w:rFonts w:ascii="黑体" w:hAnsi="黑体" w:eastAsia="黑体"/>
        </w:rPr>
      </w:pPr>
      <w:r>
        <w:rPr>
          <w:rFonts w:hint="eastAsia" w:ascii="黑体" w:hAnsi="黑体" w:eastAsia="黑体"/>
        </w:rPr>
        <w:t>九、党的建设</w:t>
      </w:r>
    </w:p>
    <w:p>
      <w:pPr>
        <w:spacing w:line="600" w:lineRule="exact"/>
        <w:ind w:firstLine="640" w:firstLineChars="200"/>
      </w:pPr>
      <w:r>
        <w:rPr>
          <w:rFonts w:hint="eastAsia"/>
        </w:rPr>
        <w:t>（一）体育类培训机构必须按照《中国共产党章程》《中国共产党组织工作条例》规定建立中国共产党的基层组织，凡有3名以上正式党员的，均应单独建立党组织。对不具备单独建立党组织条件的培训机构，可采取联合组建、挂靠组建、选派党建指导员、联络员等途径开展党的工作，条件成熟时及时建立党组织。</w:t>
      </w:r>
    </w:p>
    <w:p>
      <w:pPr>
        <w:spacing w:line="600" w:lineRule="exact"/>
        <w:ind w:firstLine="640" w:firstLineChars="200"/>
      </w:pPr>
      <w:r>
        <w:rPr>
          <w:rFonts w:hint="eastAsia"/>
        </w:rPr>
        <w:t>（二）按照“谁主管、谁审批、谁负责”的原则，明确培训机构党组织的隶属关系。把党的建设有关内容写入培训机构章程，审批时对章程中党的建设有关内容严格把关。</w:t>
      </w:r>
    </w:p>
    <w:p>
      <w:pPr>
        <w:spacing w:line="600" w:lineRule="exact"/>
        <w:ind w:firstLine="640" w:firstLineChars="200"/>
      </w:pPr>
      <w:r>
        <w:rPr>
          <w:rFonts w:hint="eastAsia"/>
        </w:rPr>
        <w:t>（三）推进机构党组织班子与决策层、管理层“双向进入、交叉任职”，保证党组织在重大事项决策、监督、执行各环节有效发挥作用。</w:t>
      </w:r>
    </w:p>
    <w:p>
      <w:pPr>
        <w:spacing w:line="600" w:lineRule="exact"/>
        <w:ind w:firstLine="640" w:firstLineChars="200"/>
        <w:rPr>
          <w:rFonts w:ascii="黑体" w:hAnsi="黑体" w:eastAsia="黑体"/>
        </w:rPr>
      </w:pPr>
      <w:r>
        <w:rPr>
          <w:rFonts w:hint="eastAsia" w:ascii="黑体" w:hAnsi="黑体" w:eastAsia="黑体"/>
        </w:rPr>
        <w:t>十、课程要求</w:t>
      </w:r>
    </w:p>
    <w:p>
      <w:pPr>
        <w:spacing w:line="600" w:lineRule="exact"/>
        <w:ind w:firstLine="640" w:firstLineChars="200"/>
      </w:pPr>
      <w:r>
        <w:rPr>
          <w:rFonts w:hint="eastAsia"/>
        </w:rPr>
        <w:t>（一）体育类培训机构应落实自主管理责任，严格按照教育部办公厅发布的《义务教育阶段校外培训项目分类鉴别指南》规定，自觉按照“非学科类”的相关管理要求，规范开展培训活动，不得出现名不符实的情况，不得开展或变相开展学科类培训活动。</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体育类培训机构开设的培训课程应与培训对象的年龄、身体状态、运动能力相匹配，具备科学和完整的课程体系和内容，采取必要措施防止运动伤害。培训过程应全程录音录像，采获的视音频信息储存时间不得少于60日。</w:t>
      </w:r>
    </w:p>
    <w:p>
      <w:pPr>
        <w:spacing w:line="600" w:lineRule="exact"/>
        <w:ind w:firstLine="640" w:firstLineChars="200"/>
        <w:rPr>
          <w:shd w:val="clear" w:color="auto" w:fill="FFFFFF"/>
        </w:rPr>
      </w:pPr>
      <w:r>
        <w:rPr>
          <w:rFonts w:hint="eastAsia"/>
        </w:rPr>
        <w:t>（三）体育</w:t>
      </w:r>
      <w:r>
        <w:rPr>
          <w:rFonts w:hint="eastAsia"/>
          <w:shd w:val="clear" w:color="auto" w:fill="FFFFFF"/>
        </w:rPr>
        <w:t>类培训机构应严格执行《中小学生校外培训材料管理办法（试行）》，建立培训材料编写研发、审核、选用使用及人员资质审查等内部管理制度，明确责任部门、责任人、工作职责、标准、流程以及责任追究办法。培训机构应当对培训内容的合法性、合规性、安全性作出书面承诺并自觉接受行政管理部门和社会的监督。所有培训材料应存档保管、备查，保管期限不少于相应培训材料使用完毕后3年。</w:t>
      </w:r>
    </w:p>
    <w:p>
      <w:pPr>
        <w:pStyle w:val="5"/>
        <w:spacing w:line="600" w:lineRule="exact"/>
        <w:ind w:firstLine="640"/>
        <w:rPr>
          <w:rFonts w:hint="default" w:ascii="Times New Roman" w:hAnsi="Times New Roman" w:eastAsia="仿宋_GB2312"/>
        </w:rPr>
      </w:pPr>
      <w:r>
        <w:rPr>
          <w:rFonts w:ascii="Times New Roman" w:hAnsi="Times New Roman" w:eastAsia="仿宋_GB2312"/>
        </w:rPr>
        <w:t>（四）体育类培训机构不得向学生出售和提供含有酒精的饮料，不得以任何形式暗示、教唆、帮助学生获取和使用兴奋剂。</w:t>
      </w:r>
    </w:p>
    <w:p>
      <w:pPr>
        <w:spacing w:line="600" w:lineRule="exact"/>
        <w:ind w:firstLine="640" w:firstLineChars="200"/>
        <w:rPr>
          <w:rFonts w:ascii="黑体" w:hAnsi="黑体" w:eastAsia="黑体"/>
        </w:rPr>
      </w:pPr>
      <w:r>
        <w:rPr>
          <w:rFonts w:hint="eastAsia" w:ascii="黑体" w:hAnsi="黑体" w:eastAsia="黑体"/>
        </w:rPr>
        <w:t>十一、培训收费</w:t>
      </w:r>
    </w:p>
    <w:p>
      <w:pPr>
        <w:spacing w:line="600" w:lineRule="exact"/>
        <w:ind w:firstLine="640" w:firstLineChars="200"/>
        <w:rPr>
          <w:shd w:val="clear" w:color="auto" w:fill="FFFFFF"/>
        </w:rPr>
      </w:pPr>
      <w:r>
        <w:rPr>
          <w:rFonts w:hint="eastAsia"/>
          <w:shd w:val="clear" w:color="auto" w:fill="FFFFFF"/>
        </w:rPr>
        <w:t>（一）体育类培训机构收费应当遵循公平、合法、诚实信用的原则，根据培训成本、市场需求等因素合理确定培训收费项目和标准，实行明码标价，不得过度逐利。培训内容、培训时长、收费项目与标准、预收费监管账户等信息应当在办学场所、官方网站等显著位置进行公示，接受监督。</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（二）体育类培训机构应当全面使用教育部、市场监管总局印发的《中小学生校外培训服务合同（示范文本）》</w:t>
      </w:r>
      <w:r>
        <w:rPr>
          <w:rFonts w:hint="eastAsia" w:ascii="Times New Roman" w:hAnsi="Times New Roman" w:eastAsia="仿宋_GB2312"/>
          <w:sz w:val="32"/>
          <w:szCs w:val="32"/>
        </w:rPr>
        <w:t>，严禁利</w:t>
      </w:r>
      <w:r>
        <w:rPr>
          <w:rFonts w:hint="eastAsia" w:ascii="Times New Roman" w:hAnsi="Times New Roman" w:eastAsia="仿宋_GB2312"/>
          <w:sz w:val="32"/>
          <w:szCs w:val="32"/>
          <w:shd w:val="clear" w:color="auto" w:fill="FFFFFF"/>
        </w:rPr>
        <w:t>用不公平格式条款侵害学生合法权益。自觉规范收费行为，禁止以虚构原价、虚假折扣、虚假宣传等方式开展经营活动。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体育类培训机构应在符合条件的金融机构开设预收费监管账户并与平台联通，通过平台上架、售卖课程、收退费用。收取的培训预收费应全部进入预收费监管账户，不得采取变通手段绕开平台，私下诱导家长进行交易，不得使用“培训贷”方式收取培训费用，不得强制、诱导学员使用消费贷款，收取培训费用时不得捆绑贷款、保险等金融产品或者服务，不得一次性收取或以充值、次卡等形式变相收取时间跨度超过3个月或60课时的费用，且不得超过5000元。依法履行纳税义务，按照国家有关规定开具发票，开具发票时发票内容应按照实际销售情况如实开具，不得填开与实际销售情况不符的内容，不得以收款收据等“白条”代替发票。</w:t>
      </w:r>
    </w:p>
    <w:p>
      <w:pPr>
        <w:pStyle w:val="9"/>
        <w:spacing w:line="60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（四）体育类培训机构在学生缴费时应将有关退费办法向缴费者进行说明并公示，未完成的培训课程，应严格按相关政策规定及双方合同约定及时办理退费。</w:t>
      </w:r>
    </w:p>
    <w:p>
      <w:pPr>
        <w:spacing w:line="600" w:lineRule="exact"/>
        <w:ind w:firstLine="640" w:firstLineChars="200"/>
        <w:rPr>
          <w:rFonts w:ascii="黑体" w:hAnsi="黑体" w:eastAsia="黑体"/>
          <w:bCs/>
          <w:shd w:val="clear" w:color="auto" w:fill="FFFFFF"/>
        </w:rPr>
      </w:pPr>
      <w:r>
        <w:rPr>
          <w:rFonts w:hint="eastAsia" w:ascii="黑体" w:hAnsi="黑体" w:eastAsia="黑体"/>
        </w:rPr>
        <w:t>十二、附则</w:t>
      </w:r>
    </w:p>
    <w:p>
      <w:pPr>
        <w:spacing w:line="600" w:lineRule="exact"/>
        <w:ind w:firstLine="640" w:firstLineChars="200"/>
        <w:rPr>
          <w:bCs/>
          <w:shd w:val="clear" w:color="auto" w:fill="FFFFFF"/>
        </w:rPr>
      </w:pPr>
      <w:r>
        <w:rPr>
          <w:rFonts w:hint="eastAsia"/>
          <w:bCs/>
          <w:shd w:val="clear" w:color="auto" w:fill="FFFFFF"/>
        </w:rPr>
        <w:t>（一）不得开展面向学龄前儿童的线上培训，不再审批新的面向学龄前儿童的体育类培训机构。在本标准实施前已设立的体育类培训机构，须按照本标准要求实施之日起6个月内在平台重新进行核准。未按时核准登记或经核准认定达不到准入条件的，不得继续开展培训活动。</w:t>
      </w:r>
    </w:p>
    <w:p>
      <w:pPr>
        <w:spacing w:line="600" w:lineRule="exact"/>
        <w:ind w:firstLine="640" w:firstLineChars="200"/>
        <w:rPr>
          <w:bCs/>
          <w:shd w:val="clear" w:color="auto" w:fill="FFFFFF"/>
        </w:rPr>
      </w:pPr>
      <w:r>
        <w:rPr>
          <w:rFonts w:hint="eastAsia"/>
          <w:bCs/>
          <w:shd w:val="clear" w:color="auto" w:fill="FFFFFF"/>
        </w:rPr>
        <w:t>（二）体育部门应当加强体育类培训机构的日常管理。独立或会同有关部门依法开展日常检查、随机抽查、专项检查和年度检查等。</w:t>
      </w:r>
    </w:p>
    <w:p>
      <w:pPr>
        <w:spacing w:line="600" w:lineRule="exact"/>
        <w:ind w:firstLine="640" w:firstLineChars="200"/>
        <w:rPr>
          <w:bCs/>
          <w:shd w:val="clear" w:color="auto" w:fill="FFFFFF"/>
        </w:rPr>
      </w:pPr>
      <w:r>
        <w:rPr>
          <w:rFonts w:hint="eastAsia"/>
          <w:bCs/>
          <w:shd w:val="clear" w:color="auto" w:fill="FFFFFF"/>
        </w:rPr>
        <w:t>（三）各市（州）体育部门应当按照本标准规定的要求和当地实际，研究制订本地体育类培训机构准入的具体设置细则。</w:t>
      </w:r>
    </w:p>
    <w:p>
      <w:pPr>
        <w:spacing w:line="600" w:lineRule="exact"/>
        <w:ind w:firstLine="640" w:firstLineChars="200"/>
        <w:rPr>
          <w:bCs/>
          <w:shd w:val="clear" w:color="auto" w:fill="FFFFFF"/>
        </w:rPr>
      </w:pPr>
      <w:r>
        <w:rPr>
          <w:rFonts w:hint="eastAsia"/>
          <w:bCs/>
          <w:shd w:val="clear" w:color="auto" w:fill="FFFFFF"/>
        </w:rPr>
        <w:t>（四）本标准自2023年2月1日起试行。国家法律、法规和规章关于培训机构设置另有新规的，从其规定。</w:t>
      </w:r>
    </w:p>
    <w:p>
      <w:pPr>
        <w:spacing w:line="600" w:lineRule="exact"/>
        <w:ind w:firstLine="640" w:firstLineChars="200"/>
        <w:rPr>
          <w:bCs/>
          <w:shd w:val="clear" w:color="auto" w:fill="FFFFFF"/>
        </w:rPr>
      </w:pPr>
      <w:r>
        <w:rPr>
          <w:rFonts w:hint="eastAsia"/>
          <w:bCs/>
          <w:shd w:val="clear" w:color="auto" w:fill="FFFFFF"/>
        </w:rPr>
        <w:t>（五）本标准最终解释权归四川省体育局。</w:t>
      </w:r>
    </w:p>
    <w:p>
      <w:pPr>
        <w:snapToGrid w:val="0"/>
        <w:spacing w:line="600" w:lineRule="exact"/>
        <w:ind w:firstLine="640" w:firstLineChars="200"/>
        <w:textAlignment w:val="baseline"/>
        <w:rPr>
          <w:bCs/>
          <w:shd w:val="clear" w:color="auto" w:fill="FFFFFF"/>
        </w:rPr>
      </w:pPr>
    </w:p>
    <w:p>
      <w:pPr>
        <w:sectPr>
          <w:pgSz w:w="11906" w:h="16838"/>
          <w:pgMar w:top="2098" w:right="1474" w:bottom="1985" w:left="1588" w:header="1701" w:footer="1588" w:gutter="0"/>
          <w:cols w:space="425" w:num="1"/>
          <w:docGrid w:linePitch="312" w:charSpace="0"/>
        </w:sectPr>
      </w:pPr>
    </w:p>
    <w:p>
      <w:pPr>
        <w:spacing w:before="183" w:line="219" w:lineRule="auto"/>
        <w:ind w:left="20"/>
        <w:rPr>
          <w:rFonts w:ascii="黑体" w:hAnsi="黑体" w:eastAsia="黑体" w:cs="黑体"/>
        </w:rPr>
      </w:pPr>
      <w:r>
        <w:rPr>
          <w:rFonts w:hint="eastAsia" w:ascii="黑体" w:hAnsi="黑体" w:eastAsia="黑体" w:cs="黑体"/>
        </w:rPr>
        <w:t>附件5</w:t>
      </w:r>
    </w:p>
    <w:p>
      <w:pPr>
        <w:pStyle w:val="2"/>
        <w:ind w:left="0"/>
      </w:pPr>
      <w:r>
        <w:rPr>
          <w:rFonts w:hint="eastAsia"/>
        </w:rPr>
        <w:drawing>
          <wp:inline distT="0" distB="0" distL="114300" distR="114300">
            <wp:extent cx="5391785" cy="7628255"/>
            <wp:effectExtent l="0" t="0" r="18415" b="10795"/>
            <wp:docPr id="4" name="图片 4" descr="四川省非学科类校外培训机构申办流程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四川省非学科类校外培训机构申办流程图_01"/>
                    <pic:cNvPicPr>
                      <a:picLocks noChangeAspect="1"/>
                    </pic:cNvPicPr>
                  </pic:nvPicPr>
                  <pic:blipFill>
                    <a:blip r:embed="rId14"/>
                    <a:stretch>
                      <a:fillRect/>
                    </a:stretch>
                  </pic:blipFill>
                  <pic:spPr>
                    <a:xfrm>
                      <a:off x="0" y="0"/>
                      <a:ext cx="5391785" cy="7628255"/>
                    </a:xfrm>
                    <a:prstGeom prst="rect">
                      <a:avLst/>
                    </a:prstGeom>
                  </pic:spPr>
                </pic:pic>
              </a:graphicData>
            </a:graphic>
          </wp:inline>
        </w:drawing>
      </w:r>
    </w:p>
    <w:p>
      <w:pPr>
        <w:rPr>
          <w:rFonts w:ascii="黑体" w:hAnsi="黑体" w:eastAsia="黑体" w:cs="黑体"/>
        </w:rPr>
      </w:pPr>
      <w:r>
        <w:rPr>
          <w:rFonts w:hint="eastAsia" w:ascii="黑体" w:hAnsi="黑体" w:eastAsia="黑体" w:cs="黑体"/>
        </w:rPr>
        <w:br w:type="page"/>
      </w:r>
    </w:p>
    <w:p>
      <w:pPr>
        <w:spacing w:line="600" w:lineRule="exact"/>
        <w:rPr>
          <w:rFonts w:ascii="黑体" w:hAnsi="黑体" w:eastAsia="黑体" w:cs="黑体"/>
        </w:rPr>
      </w:pPr>
      <w:r>
        <w:rPr>
          <w:rFonts w:hint="eastAsia" w:ascii="黑体" w:hAnsi="黑体" w:eastAsia="黑体" w:cs="黑体"/>
        </w:rPr>
        <w:t>附件6</w:t>
      </w:r>
    </w:p>
    <w:p>
      <w:pPr>
        <w:pStyle w:val="2"/>
        <w:spacing w:before="0"/>
        <w:ind w:left="0" w:firstLine="643" w:firstLineChars="200"/>
      </w:pPr>
    </w:p>
    <w:p>
      <w:pPr>
        <w:spacing w:line="7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四川省非学科类校外培训机构申办材料清单</w:t>
      </w:r>
    </w:p>
    <w:p>
      <w:pPr>
        <w:ind w:firstLine="640" w:firstLineChars="200"/>
        <w:rPr>
          <w:szCs w:val="44"/>
        </w:rPr>
      </w:pPr>
    </w:p>
    <w:p>
      <w:pPr>
        <w:spacing w:line="48" w:lineRule="exact"/>
      </w:pPr>
    </w:p>
    <w:tbl>
      <w:tblPr>
        <w:tblStyle w:val="33"/>
        <w:tblW w:w="92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64"/>
        <w:gridCol w:w="6257"/>
        <w:gridCol w:w="2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rFonts w:eastAsia="黑体" w:cs="黑体"/>
                <w:sz w:val="28"/>
                <w:szCs w:val="28"/>
              </w:rPr>
            </w:pPr>
            <w:r>
              <w:rPr>
                <w:rFonts w:hint="eastAsia" w:eastAsia="黑体" w:cs="黑体"/>
                <w:sz w:val="28"/>
                <w:szCs w:val="28"/>
              </w:rPr>
              <w:t>序号</w:t>
            </w:r>
          </w:p>
        </w:tc>
        <w:tc>
          <w:tcPr>
            <w:tcW w:w="6257" w:type="dxa"/>
            <w:tcBorders>
              <w:top w:val="single" w:color="000000" w:sz="2" w:space="0"/>
              <w:bottom w:val="single" w:color="000000" w:sz="2" w:space="0"/>
            </w:tcBorders>
            <w:vAlign w:val="center"/>
          </w:tcPr>
          <w:p>
            <w:pPr>
              <w:jc w:val="center"/>
              <w:rPr>
                <w:rFonts w:eastAsia="黑体" w:cs="黑体"/>
                <w:sz w:val="28"/>
                <w:szCs w:val="28"/>
              </w:rPr>
            </w:pPr>
            <w:r>
              <w:rPr>
                <w:rFonts w:hint="eastAsia" w:eastAsia="黑体" w:cs="黑体"/>
                <w:sz w:val="28"/>
                <w:szCs w:val="28"/>
              </w:rPr>
              <w:t>材料名称</w:t>
            </w:r>
          </w:p>
        </w:tc>
        <w:tc>
          <w:tcPr>
            <w:tcW w:w="2210" w:type="dxa"/>
            <w:tcBorders>
              <w:top w:val="single" w:color="000000" w:sz="2" w:space="0"/>
              <w:bottom w:val="single" w:color="000000" w:sz="2" w:space="0"/>
            </w:tcBorders>
            <w:vAlign w:val="center"/>
          </w:tcPr>
          <w:p>
            <w:pPr>
              <w:jc w:val="center"/>
              <w:rPr>
                <w:rFonts w:eastAsia="黑体" w:cs="黑体"/>
                <w:sz w:val="28"/>
                <w:szCs w:val="28"/>
              </w:rPr>
            </w:pPr>
            <w:r>
              <w:rPr>
                <w:rFonts w:hint="eastAsia" w:eastAsia="黑体" w:cs="黑体"/>
                <w:sz w:val="28"/>
                <w:szCs w:val="28"/>
              </w:rPr>
              <w:t>办理部门/人员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1</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《四川省非学科类校外培训机构申办审批表》</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主管部门/申办人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2</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举办者、法定代表人、行政主要负责人有效身份证明及社会信用证明</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3</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培训机构章程和内部管理制度</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71"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4</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培训场地平面图（标明面积），自有场地提供权属证明，租赁场地提供不少于3年具有法律效力的租赁合同（协议）</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50"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5</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《四川省非学科类校外培训机构从业人员明细表》</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8"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6</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《四川省非学科类校外培训机构培训材料备案表》</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7</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消防安全等相关证明材料</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8</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食品经营资质等相关证明材料（提供餐饮服务的需提供）</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9</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联合办学协议（联合举办的需提供）</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10</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意识形态工作承诺书</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11</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主管部门和审批机关要求提供的其他有关材料</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bl>
    <w:p>
      <w:pPr>
        <w:spacing w:before="183" w:line="219" w:lineRule="auto"/>
        <w:ind w:left="20"/>
        <w:rPr>
          <w:rFonts w:ascii="黑体" w:hAnsi="黑体" w:eastAsia="黑体" w:cs="黑体"/>
        </w:rPr>
        <w:sectPr>
          <w:footerReference r:id="rId5" w:type="default"/>
          <w:pgSz w:w="11940" w:h="16820"/>
          <w:pgMar w:top="2098" w:right="1474" w:bottom="1985" w:left="1588" w:header="1701" w:footer="1588" w:gutter="0"/>
          <w:cols w:space="720" w:num="1"/>
        </w:sectPr>
      </w:pPr>
    </w:p>
    <w:p>
      <w:pPr>
        <w:spacing w:before="183" w:line="219" w:lineRule="auto"/>
        <w:ind w:left="20"/>
        <w:rPr>
          <w:rFonts w:ascii="黑体" w:hAnsi="黑体" w:eastAsia="黑体" w:cs="黑体"/>
        </w:rPr>
      </w:pPr>
      <w:r>
        <w:rPr>
          <w:rFonts w:hint="eastAsia" w:ascii="黑体" w:hAnsi="黑体" w:eastAsia="黑体" w:cs="黑体"/>
        </w:rPr>
        <w:t>附件6-1</w:t>
      </w:r>
    </w:p>
    <w:p>
      <w:pPr>
        <w:ind w:firstLine="640" w:firstLineChars="200"/>
        <w:rPr>
          <w:bCs/>
          <w:szCs w:val="22"/>
        </w:rPr>
      </w:pPr>
    </w:p>
    <w:p>
      <w:pPr>
        <w:spacing w:before="183" w:line="219" w:lineRule="auto"/>
        <w:jc w:val="center"/>
        <w:rPr>
          <w:rFonts w:ascii="方正小标宋简体" w:hAnsi="方正小标宋简体" w:eastAsia="方正小标宋简体" w:cs="方正小标宋简体"/>
          <w:sz w:val="44"/>
          <w:szCs w:val="44"/>
        </w:rPr>
      </w:pPr>
      <w:r>
        <w:rPr>
          <w:rFonts w:hint="eastAsia" w:ascii="方正小标宋简体" w:eastAsia="方正小标宋简体" w:hAnsiTheme="majorEastAsia" w:cstheme="majorEastAsia"/>
          <w:bCs/>
          <w:sz w:val="44"/>
          <w:szCs w:val="44"/>
        </w:rPr>
        <w:t>四川省非学科类校外培训机构申办审批表</w:t>
      </w:r>
    </w:p>
    <w:p>
      <w:pPr>
        <w:spacing w:before="183" w:line="219" w:lineRule="auto"/>
        <w:jc w:val="center"/>
        <w:rPr>
          <w:rFonts w:ascii="黑体" w:hAnsi="黑体" w:eastAsia="黑体" w:cs="黑体"/>
          <w:spacing w:val="-16"/>
          <w:sz w:val="34"/>
          <w:szCs w:val="34"/>
          <w14:textOutline w14:w="6172" w14:cap="flat" w14:cmpd="sng" w14:algn="ctr">
            <w14:solidFill>
              <w14:srgbClr w14:val="000000"/>
            </w14:solidFill>
            <w14:prstDash w14:val="solid"/>
            <w14:miter w14:val="0"/>
          </w14:textOutline>
        </w:rPr>
      </w:pPr>
      <w:r>
        <w:rPr>
          <w:rFonts w:hint="eastAsia" w:ascii="楷体_GB2312" w:hAnsi="楷体_GB2312" w:eastAsia="楷体_GB2312" w:cs="楷体_GB2312"/>
          <w:sz w:val="28"/>
          <w:szCs w:val="28"/>
        </w:rPr>
        <w:t>（样表，供参考）</w:t>
      </w:r>
    </w:p>
    <w:p>
      <w:pPr>
        <w:spacing w:line="223" w:lineRule="auto"/>
        <w:ind w:left="189"/>
        <w:rPr>
          <w:rFonts w:ascii="黑体" w:hAnsi="黑体" w:eastAsia="黑体" w:cs="黑体"/>
          <w:sz w:val="24"/>
        </w:rPr>
      </w:pPr>
    </w:p>
    <w:p>
      <w:pPr>
        <w:spacing w:line="223" w:lineRule="auto"/>
        <w:ind w:left="189"/>
        <w:rPr>
          <w:rFonts w:ascii="黑体" w:hAnsi="黑体" w:eastAsia="黑体" w:cs="黑体"/>
        </w:rPr>
      </w:pPr>
      <w:r>
        <w:rPr>
          <w:rFonts w:hint="eastAsia" w:ascii="黑体" w:hAnsi="黑体" w:eastAsia="黑体" w:cs="黑体"/>
        </w:rPr>
        <w:t>一、基本情况</w:t>
      </w:r>
    </w:p>
    <w:p>
      <w:pPr>
        <w:spacing w:line="34" w:lineRule="exact"/>
      </w:pPr>
    </w:p>
    <w:tbl>
      <w:tblPr>
        <w:tblStyle w:val="33"/>
        <w:tblW w:w="93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1448"/>
        <w:gridCol w:w="1521"/>
        <w:gridCol w:w="1260"/>
        <w:gridCol w:w="1305"/>
        <w:gridCol w:w="579"/>
        <w:gridCol w:w="681"/>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894" w:type="dxa"/>
            <w:vMerge w:val="restart"/>
            <w:tcBorders>
              <w:top w:val="single" w:color="000000" w:sz="2" w:space="0"/>
              <w:bottom w:val="nil"/>
            </w:tcBorders>
            <w:vAlign w:val="center"/>
          </w:tcPr>
          <w:p>
            <w:pPr>
              <w:jc w:val="center"/>
              <w:rPr>
                <w:rFonts w:cs="宋体"/>
                <w:sz w:val="22"/>
                <w:szCs w:val="22"/>
              </w:rPr>
            </w:pPr>
            <w:r>
              <w:rPr>
                <w:rFonts w:hint="eastAsia" w:cs="宋体"/>
                <w:spacing w:val="3"/>
                <w:sz w:val="22"/>
                <w:szCs w:val="22"/>
              </w:rPr>
              <w:t>举办者</w:t>
            </w:r>
            <w:r>
              <w:rPr>
                <w:rFonts w:hint="eastAsia" w:cs="宋体"/>
                <w:spacing w:val="-3"/>
                <w:sz w:val="22"/>
                <w:szCs w:val="22"/>
              </w:rPr>
              <w:t>情</w:t>
            </w:r>
            <w:r>
              <w:rPr>
                <w:rFonts w:hint="eastAsia" w:cs="宋体"/>
                <w:spacing w:val="-2"/>
                <w:sz w:val="22"/>
                <w:szCs w:val="22"/>
              </w:rPr>
              <w:t>况</w:t>
            </w: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举办者</w:t>
            </w:r>
            <w:r>
              <w:rPr>
                <w:rFonts w:hint="eastAsia" w:cs="宋体"/>
                <w:spacing w:val="1"/>
                <w:sz w:val="22"/>
                <w:szCs w:val="22"/>
              </w:rPr>
              <w:t>（单位</w:t>
            </w:r>
          </w:p>
          <w:p>
            <w:pPr>
              <w:jc w:val="center"/>
              <w:rPr>
                <w:rFonts w:cs="宋体"/>
                <w:sz w:val="22"/>
                <w:szCs w:val="22"/>
              </w:rPr>
            </w:pPr>
            <w:r>
              <w:rPr>
                <w:rFonts w:hint="eastAsia" w:cs="宋体"/>
                <w:spacing w:val="12"/>
                <w:sz w:val="22"/>
                <w:szCs w:val="22"/>
              </w:rPr>
              <w:t>或个人）</w:t>
            </w:r>
          </w:p>
        </w:tc>
        <w:tc>
          <w:tcPr>
            <w:tcW w:w="2781" w:type="dxa"/>
            <w:gridSpan w:val="2"/>
            <w:tcBorders>
              <w:top w:val="single" w:color="000000" w:sz="2" w:space="0"/>
              <w:bottom w:val="single" w:color="000000" w:sz="2" w:space="0"/>
            </w:tcBorders>
            <w:vAlign w:val="center"/>
          </w:tcPr>
          <w:p>
            <w:pPr>
              <w:jc w:val="center"/>
              <w:rPr>
                <w:sz w:val="22"/>
                <w:szCs w:val="22"/>
              </w:rPr>
            </w:pPr>
          </w:p>
        </w:tc>
        <w:tc>
          <w:tcPr>
            <w:tcW w:w="1305"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联系电话</w:t>
            </w:r>
          </w:p>
        </w:tc>
        <w:tc>
          <w:tcPr>
            <w:tcW w:w="2928" w:type="dxa"/>
            <w:gridSpan w:val="3"/>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894" w:type="dxa"/>
            <w:vMerge w:val="continue"/>
            <w:tcBorders>
              <w:top w:val="nil"/>
              <w:bottom w:val="nil"/>
            </w:tcBorders>
            <w:vAlign w:val="center"/>
          </w:tcPr>
          <w:p>
            <w:pPr>
              <w:jc w:val="cente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联系地址</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894" w:type="dxa"/>
            <w:vMerge w:val="continue"/>
            <w:tcBorders>
              <w:top w:val="nil"/>
              <w:bottom w:val="single" w:color="000000" w:sz="2" w:space="0"/>
            </w:tcBorders>
            <w:vAlign w:val="center"/>
          </w:tcPr>
          <w:p>
            <w:pPr>
              <w:jc w:val="cente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法定代</w:t>
            </w:r>
            <w:r>
              <w:rPr>
                <w:rFonts w:hint="eastAsia" w:cs="宋体"/>
                <w:spacing w:val="-1"/>
                <w:sz w:val="22"/>
                <w:szCs w:val="22"/>
              </w:rPr>
              <w:t>表人</w:t>
            </w:r>
          </w:p>
        </w:tc>
        <w:tc>
          <w:tcPr>
            <w:tcW w:w="2781" w:type="dxa"/>
            <w:gridSpan w:val="2"/>
            <w:tcBorders>
              <w:top w:val="single" w:color="000000" w:sz="2" w:space="0"/>
              <w:bottom w:val="single" w:color="000000" w:sz="2" w:space="0"/>
            </w:tcBorders>
            <w:vAlign w:val="center"/>
          </w:tcPr>
          <w:p>
            <w:pPr>
              <w:jc w:val="center"/>
              <w:rPr>
                <w:sz w:val="22"/>
                <w:szCs w:val="22"/>
              </w:rPr>
            </w:pPr>
          </w:p>
        </w:tc>
        <w:tc>
          <w:tcPr>
            <w:tcW w:w="1305"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联系电话</w:t>
            </w:r>
          </w:p>
        </w:tc>
        <w:tc>
          <w:tcPr>
            <w:tcW w:w="2928" w:type="dxa"/>
            <w:gridSpan w:val="3"/>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894" w:type="dxa"/>
            <w:vMerge w:val="restart"/>
            <w:tcBorders>
              <w:top w:val="single" w:color="000000" w:sz="2" w:space="0"/>
              <w:bottom w:val="nil"/>
            </w:tcBorders>
            <w:vAlign w:val="center"/>
          </w:tcPr>
          <w:p>
            <w:pPr>
              <w:jc w:val="center"/>
              <w:rPr>
                <w:rFonts w:cs="宋体"/>
                <w:spacing w:val="-3"/>
                <w:sz w:val="22"/>
                <w:szCs w:val="22"/>
              </w:rPr>
            </w:pPr>
            <w:r>
              <w:rPr>
                <w:rFonts w:hint="eastAsia" w:cs="宋体"/>
                <w:spacing w:val="-3"/>
                <w:sz w:val="22"/>
                <w:szCs w:val="22"/>
              </w:rPr>
              <w:t>拟设立</w:t>
            </w:r>
          </w:p>
          <w:p>
            <w:pPr>
              <w:jc w:val="center"/>
              <w:rPr>
                <w:rFonts w:cs="宋体"/>
                <w:spacing w:val="-2"/>
                <w:sz w:val="22"/>
                <w:szCs w:val="22"/>
              </w:rPr>
            </w:pPr>
            <w:r>
              <w:rPr>
                <w:rFonts w:hint="eastAsia" w:cs="宋体"/>
                <w:spacing w:val="-3"/>
                <w:sz w:val="22"/>
                <w:szCs w:val="22"/>
              </w:rPr>
              <w:t>校</w:t>
            </w:r>
            <w:r>
              <w:rPr>
                <w:rFonts w:hint="eastAsia" w:cs="宋体"/>
                <w:spacing w:val="-2"/>
                <w:sz w:val="22"/>
                <w:szCs w:val="22"/>
              </w:rPr>
              <w:t>外培</w:t>
            </w:r>
          </w:p>
          <w:p>
            <w:pPr>
              <w:jc w:val="center"/>
              <w:rPr>
                <w:rFonts w:cs="宋体"/>
                <w:sz w:val="22"/>
                <w:szCs w:val="22"/>
              </w:rPr>
            </w:pPr>
            <w:r>
              <w:rPr>
                <w:rFonts w:hint="eastAsia" w:cs="宋体"/>
                <w:spacing w:val="5"/>
                <w:sz w:val="22"/>
                <w:szCs w:val="22"/>
              </w:rPr>
              <w:t>训机</w:t>
            </w:r>
            <w:r>
              <w:rPr>
                <w:rFonts w:hint="eastAsia" w:cs="宋体"/>
                <w:spacing w:val="4"/>
                <w:sz w:val="22"/>
                <w:szCs w:val="22"/>
              </w:rPr>
              <w:t>构</w:t>
            </w:r>
            <w:r>
              <w:rPr>
                <w:rFonts w:hint="eastAsia" w:cs="宋体"/>
                <w:spacing w:val="-3"/>
                <w:sz w:val="22"/>
                <w:szCs w:val="22"/>
              </w:rPr>
              <w:t>情</w:t>
            </w:r>
            <w:r>
              <w:rPr>
                <w:rFonts w:hint="eastAsia" w:cs="宋体"/>
                <w:spacing w:val="-2"/>
                <w:sz w:val="22"/>
                <w:szCs w:val="22"/>
              </w:rPr>
              <w:t>况</w:t>
            </w: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z w:val="22"/>
                <w:szCs w:val="22"/>
              </w:rPr>
              <w:t>校外培训机构名称</w:t>
            </w:r>
          </w:p>
        </w:tc>
        <w:tc>
          <w:tcPr>
            <w:tcW w:w="4086" w:type="dxa"/>
            <w:gridSpan w:val="3"/>
            <w:tcBorders>
              <w:top w:val="single" w:color="000000" w:sz="2" w:space="0"/>
              <w:bottom w:val="single" w:color="000000" w:sz="2" w:space="0"/>
            </w:tcBorders>
            <w:vAlign w:val="center"/>
          </w:tcPr>
          <w:p>
            <w:pPr>
              <w:jc w:val="center"/>
              <w:rPr>
                <w:sz w:val="22"/>
                <w:szCs w:val="22"/>
              </w:rPr>
            </w:pPr>
          </w:p>
        </w:tc>
        <w:tc>
          <w:tcPr>
            <w:tcW w:w="1260"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6"/>
                <w:sz w:val="22"/>
                <w:szCs w:val="22"/>
              </w:rPr>
              <w:t>机构性质</w:t>
            </w:r>
          </w:p>
        </w:tc>
        <w:tc>
          <w:tcPr>
            <w:tcW w:w="1668" w:type="dxa"/>
            <w:tcBorders>
              <w:top w:val="single" w:color="000000" w:sz="2" w:space="0"/>
              <w:bottom w:val="single" w:color="000000" w:sz="2" w:space="0"/>
            </w:tcBorders>
            <w:vAlign w:val="center"/>
          </w:tcPr>
          <w:p>
            <w:pPr>
              <w:jc w:val="center"/>
              <w:rPr>
                <w:rFonts w:cs="宋体"/>
                <w:sz w:val="22"/>
                <w:szCs w:val="22"/>
              </w:rPr>
            </w:pPr>
            <w:r>
              <w:rPr>
                <w:rFonts w:hint="eastAsia" w:cs="宋体"/>
                <w:spacing w:val="4"/>
                <w:sz w:val="22"/>
                <w:szCs w:val="22"/>
              </w:rPr>
              <w:t>（</w:t>
            </w:r>
            <w:r>
              <w:rPr>
                <w:rFonts w:hint="eastAsia" w:cs="宋体"/>
                <w:spacing w:val="2"/>
                <w:sz w:val="22"/>
                <w:szCs w:val="22"/>
              </w:rPr>
              <w:t>营利/非营</w:t>
            </w:r>
            <w:r>
              <w:rPr>
                <w:rFonts w:hint="eastAsia" w:cs="宋体"/>
                <w:spacing w:val="-19"/>
                <w:sz w:val="22"/>
                <w:szCs w:val="22"/>
              </w:rPr>
              <w:t>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894" w:type="dxa"/>
            <w:vMerge w:val="continue"/>
            <w:tcBorders>
              <w:top w:val="nil"/>
              <w:bottom w:val="nil"/>
            </w:tcBorders>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校外培训机构拟选地址</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94" w:type="dxa"/>
            <w:vMerge w:val="continue"/>
            <w:tcBorders>
              <w:top w:val="nil"/>
              <w:bottom w:val="nil"/>
            </w:tcBorders>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5"/>
                <w:sz w:val="22"/>
                <w:szCs w:val="22"/>
              </w:rPr>
              <w:t>校</w:t>
            </w:r>
            <w:r>
              <w:rPr>
                <w:rFonts w:hint="eastAsia" w:cs="宋体"/>
                <w:spacing w:val="3"/>
                <w:sz w:val="22"/>
                <w:szCs w:val="22"/>
              </w:rPr>
              <w:t>舍类型</w:t>
            </w:r>
          </w:p>
        </w:tc>
        <w:tc>
          <w:tcPr>
            <w:tcW w:w="1521" w:type="dxa"/>
            <w:tcBorders>
              <w:top w:val="single" w:color="000000" w:sz="2" w:space="0"/>
              <w:bottom w:val="single" w:color="000000" w:sz="2" w:space="0"/>
            </w:tcBorders>
            <w:vAlign w:val="center"/>
          </w:tcPr>
          <w:p>
            <w:pPr>
              <w:jc w:val="center"/>
              <w:rPr>
                <w:sz w:val="22"/>
                <w:szCs w:val="22"/>
                <w:lang w:val="en"/>
              </w:rPr>
            </w:pPr>
            <w:r>
              <w:rPr>
                <w:rFonts w:hint="eastAsia" w:cs="宋体"/>
                <w:spacing w:val="2"/>
                <w:sz w:val="22"/>
                <w:szCs w:val="22"/>
              </w:rPr>
              <w:t>（自有</w:t>
            </w:r>
            <w:r>
              <w:rPr>
                <w:rFonts w:hint="eastAsia" w:cs="宋体"/>
                <w:spacing w:val="2"/>
                <w:sz w:val="22"/>
                <w:szCs w:val="22"/>
                <w:lang w:val="en"/>
              </w:rPr>
              <w:t>/租赁）</w:t>
            </w:r>
          </w:p>
        </w:tc>
        <w:tc>
          <w:tcPr>
            <w:tcW w:w="1260" w:type="dxa"/>
            <w:tcBorders>
              <w:top w:val="single" w:color="000000" w:sz="2" w:space="0"/>
              <w:bottom w:val="single" w:color="000000" w:sz="2" w:space="0"/>
            </w:tcBorders>
            <w:vAlign w:val="center"/>
          </w:tcPr>
          <w:p>
            <w:pPr>
              <w:jc w:val="center"/>
              <w:rPr>
                <w:rFonts w:cs="宋体"/>
                <w:sz w:val="22"/>
                <w:szCs w:val="22"/>
              </w:rPr>
            </w:pPr>
            <w:r>
              <w:rPr>
                <w:rFonts w:hint="eastAsia" w:cs="宋体"/>
                <w:spacing w:val="5"/>
                <w:sz w:val="22"/>
                <w:szCs w:val="22"/>
              </w:rPr>
              <w:t>场</w:t>
            </w:r>
            <w:r>
              <w:rPr>
                <w:rFonts w:hint="eastAsia" w:cs="宋体"/>
                <w:spacing w:val="3"/>
                <w:sz w:val="22"/>
                <w:szCs w:val="22"/>
              </w:rPr>
              <w:t>所总面积</w:t>
            </w:r>
          </w:p>
        </w:tc>
        <w:tc>
          <w:tcPr>
            <w:tcW w:w="1305" w:type="dxa"/>
            <w:tcBorders>
              <w:top w:val="single" w:color="000000" w:sz="2" w:space="0"/>
              <w:bottom w:val="single" w:color="000000" w:sz="2" w:space="0"/>
            </w:tcBorders>
            <w:vAlign w:val="center"/>
          </w:tcPr>
          <w:p>
            <w:pPr>
              <w:jc w:val="center"/>
              <w:rPr>
                <w:rFonts w:cs="宋体"/>
                <w:sz w:val="22"/>
                <w:szCs w:val="22"/>
              </w:rPr>
            </w:pPr>
            <w:r>
              <w:rPr>
                <w:rFonts w:hint="eastAsia" w:cs="宋体"/>
                <w:spacing w:val="12"/>
                <w:sz w:val="22"/>
                <w:szCs w:val="22"/>
              </w:rPr>
              <w:t>（</w:t>
            </w:r>
            <w:r>
              <w:rPr>
                <w:rFonts w:hint="eastAsia" w:cs="宋体"/>
                <w:spacing w:val="9"/>
                <w:sz w:val="22"/>
                <w:szCs w:val="22"/>
              </w:rPr>
              <w:t>平方米）</w:t>
            </w:r>
          </w:p>
        </w:tc>
        <w:tc>
          <w:tcPr>
            <w:tcW w:w="1260" w:type="dxa"/>
            <w:gridSpan w:val="2"/>
            <w:tcBorders>
              <w:top w:val="single" w:color="000000" w:sz="2" w:space="0"/>
              <w:bottom w:val="single" w:color="000000" w:sz="2" w:space="0"/>
            </w:tcBorders>
            <w:vAlign w:val="center"/>
          </w:tcPr>
          <w:p>
            <w:pPr>
              <w:jc w:val="center"/>
              <w:rPr>
                <w:rFonts w:cs="宋体"/>
                <w:spacing w:val="3"/>
                <w:sz w:val="22"/>
                <w:szCs w:val="22"/>
              </w:rPr>
            </w:pPr>
            <w:r>
              <w:rPr>
                <w:rFonts w:hint="eastAsia" w:cs="宋体"/>
                <w:spacing w:val="5"/>
                <w:sz w:val="22"/>
                <w:szCs w:val="22"/>
              </w:rPr>
              <w:t>教</w:t>
            </w:r>
            <w:r>
              <w:rPr>
                <w:rFonts w:hint="eastAsia" w:cs="宋体"/>
                <w:spacing w:val="3"/>
                <w:sz w:val="22"/>
                <w:szCs w:val="22"/>
              </w:rPr>
              <w:t>学使用</w:t>
            </w:r>
          </w:p>
          <w:p>
            <w:pPr>
              <w:jc w:val="center"/>
              <w:rPr>
                <w:rFonts w:cs="宋体"/>
                <w:sz w:val="22"/>
                <w:szCs w:val="22"/>
              </w:rPr>
            </w:pPr>
            <w:r>
              <w:rPr>
                <w:rFonts w:hint="eastAsia" w:cs="宋体"/>
                <w:spacing w:val="3"/>
                <w:sz w:val="22"/>
                <w:szCs w:val="22"/>
              </w:rPr>
              <w:t>面积</w:t>
            </w:r>
          </w:p>
        </w:tc>
        <w:tc>
          <w:tcPr>
            <w:tcW w:w="1668" w:type="dxa"/>
            <w:tcBorders>
              <w:top w:val="single" w:color="000000" w:sz="2" w:space="0"/>
              <w:bottom w:val="single" w:color="000000" w:sz="2" w:space="0"/>
            </w:tcBorders>
            <w:vAlign w:val="center"/>
          </w:tcPr>
          <w:p>
            <w:pPr>
              <w:jc w:val="center"/>
              <w:rPr>
                <w:rFonts w:cs="宋体"/>
                <w:sz w:val="22"/>
                <w:szCs w:val="22"/>
              </w:rPr>
            </w:pPr>
            <w:r>
              <w:rPr>
                <w:rFonts w:hint="eastAsia" w:cs="宋体"/>
                <w:spacing w:val="12"/>
                <w:sz w:val="22"/>
                <w:szCs w:val="22"/>
              </w:rPr>
              <w:t>（</w:t>
            </w:r>
            <w:r>
              <w:rPr>
                <w:rFonts w:hint="eastAsia" w:cs="宋体"/>
                <w:spacing w:val="9"/>
                <w:sz w:val="22"/>
                <w:szCs w:val="22"/>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894" w:type="dxa"/>
            <w:vMerge w:val="continue"/>
            <w:tcBorders>
              <w:top w:val="nil"/>
              <w:bottom w:val="nil"/>
            </w:tcBorders>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7"/>
                <w:sz w:val="22"/>
                <w:szCs w:val="22"/>
              </w:rPr>
              <w:t>计划投入使用时间</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894" w:type="dxa"/>
            <w:vMerge w:val="continue"/>
            <w:tcBorders>
              <w:top w:val="nil"/>
              <w:bottom w:val="nil"/>
            </w:tcBorders>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培训对象</w:t>
            </w:r>
          </w:p>
        </w:tc>
        <w:tc>
          <w:tcPr>
            <w:tcW w:w="7014" w:type="dxa"/>
            <w:gridSpan w:val="6"/>
            <w:tcBorders>
              <w:top w:val="single" w:color="000000" w:sz="2" w:space="0"/>
              <w:bottom w:val="single" w:color="000000" w:sz="2" w:space="0"/>
            </w:tcBorders>
            <w:vAlign w:val="center"/>
          </w:tcPr>
          <w:p>
            <w:pPr>
              <w:jc w:val="center"/>
              <w:rPr>
                <w:rFonts w:cs="宋体"/>
                <w:sz w:val="22"/>
                <w:szCs w:val="22"/>
              </w:rPr>
            </w:pPr>
            <w:r>
              <w:rPr>
                <w:rFonts w:hint="eastAsia" w:cs="宋体"/>
                <w:spacing w:val="1"/>
                <w:sz w:val="22"/>
                <w:szCs w:val="22"/>
              </w:rPr>
              <w:t>学龄前儿童/小学生/</w:t>
            </w:r>
            <w:r>
              <w:rPr>
                <w:rFonts w:hint="eastAsia" w:cs="宋体"/>
                <w:sz w:val="22"/>
                <w:szCs w:val="22"/>
              </w:rPr>
              <w:t>初中生/高中生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894" w:type="dxa"/>
            <w:vMerge w:val="continue"/>
            <w:tcBorders>
              <w:top w:val="nil"/>
              <w:bottom w:val="nil"/>
            </w:tcBorders>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12"/>
                <w:sz w:val="22"/>
                <w:szCs w:val="22"/>
              </w:rPr>
              <w:t>培</w:t>
            </w:r>
            <w:r>
              <w:rPr>
                <w:rFonts w:hint="eastAsia" w:cs="宋体"/>
                <w:spacing w:val="10"/>
                <w:sz w:val="22"/>
                <w:szCs w:val="22"/>
              </w:rPr>
              <w:t>训项目</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894" w:type="dxa"/>
            <w:vMerge w:val="continue"/>
            <w:tcBorders>
              <w:top w:val="nil"/>
              <w:bottom w:val="single" w:color="000000" w:sz="2" w:space="0"/>
            </w:tcBorders>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9"/>
                <w:sz w:val="22"/>
                <w:szCs w:val="22"/>
              </w:rPr>
              <w:t>从</w:t>
            </w:r>
            <w:r>
              <w:rPr>
                <w:rFonts w:hint="eastAsia" w:cs="宋体"/>
                <w:spacing w:val="7"/>
                <w:sz w:val="22"/>
                <w:szCs w:val="22"/>
              </w:rPr>
              <w:t>业人员</w:t>
            </w:r>
          </w:p>
        </w:tc>
        <w:tc>
          <w:tcPr>
            <w:tcW w:w="2781"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16"/>
                <w:sz w:val="22"/>
                <w:szCs w:val="22"/>
              </w:rPr>
              <w:t>（人）</w:t>
            </w:r>
          </w:p>
        </w:tc>
        <w:tc>
          <w:tcPr>
            <w:tcW w:w="1884"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9"/>
                <w:sz w:val="22"/>
                <w:szCs w:val="22"/>
              </w:rPr>
              <w:t>教学</w:t>
            </w:r>
            <w:r>
              <w:rPr>
                <w:rFonts w:hint="eastAsia" w:cs="宋体"/>
                <w:spacing w:val="7"/>
                <w:sz w:val="22"/>
                <w:szCs w:val="22"/>
              </w:rPr>
              <w:t>教研人员</w:t>
            </w:r>
          </w:p>
        </w:tc>
        <w:tc>
          <w:tcPr>
            <w:tcW w:w="2349"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16"/>
                <w:sz w:val="22"/>
                <w:szCs w:val="22"/>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342"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土地来源</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342"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z w:val="22"/>
                <w:szCs w:val="22"/>
              </w:rPr>
              <w:t>校舍房屋产权归属者</w:t>
            </w:r>
          </w:p>
          <w:p>
            <w:pPr>
              <w:jc w:val="center"/>
              <w:rPr>
                <w:rFonts w:cs="宋体"/>
                <w:sz w:val="22"/>
                <w:szCs w:val="22"/>
              </w:rPr>
            </w:pPr>
            <w:r>
              <w:rPr>
                <w:rFonts w:hint="eastAsia" w:cs="宋体"/>
                <w:sz w:val="22"/>
                <w:szCs w:val="22"/>
              </w:rPr>
              <w:t>名称</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2342"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投入资</w:t>
            </w:r>
            <w:r>
              <w:rPr>
                <w:rFonts w:hint="eastAsia" w:cs="宋体"/>
                <w:spacing w:val="1"/>
                <w:sz w:val="22"/>
                <w:szCs w:val="22"/>
              </w:rPr>
              <w:t>金情况</w:t>
            </w:r>
          </w:p>
          <w:p>
            <w:pPr>
              <w:jc w:val="center"/>
              <w:rPr>
                <w:rFonts w:cs="宋体"/>
                <w:sz w:val="22"/>
                <w:szCs w:val="22"/>
              </w:rPr>
            </w:pPr>
            <w:r>
              <w:rPr>
                <w:rFonts w:hint="eastAsia" w:cs="宋体"/>
                <w:spacing w:val="16"/>
                <w:sz w:val="22"/>
                <w:szCs w:val="22"/>
              </w:rPr>
              <w:t>（元）</w:t>
            </w:r>
          </w:p>
        </w:tc>
        <w:tc>
          <w:tcPr>
            <w:tcW w:w="7014" w:type="dxa"/>
            <w:gridSpan w:val="6"/>
            <w:tcBorders>
              <w:top w:val="single" w:color="000000" w:sz="2" w:space="0"/>
              <w:bottom w:val="single" w:color="000000" w:sz="2" w:space="0"/>
            </w:tcBorders>
            <w:vAlign w:val="center"/>
          </w:tcPr>
          <w:p>
            <w:pPr>
              <w:jc w:val="center"/>
              <w:rPr>
                <w:sz w:val="22"/>
                <w:szCs w:val="22"/>
              </w:rPr>
            </w:pPr>
          </w:p>
        </w:tc>
      </w:tr>
    </w:tbl>
    <w:p>
      <w:pPr>
        <w:sectPr>
          <w:pgSz w:w="11940" w:h="16820"/>
          <w:pgMar w:top="2098" w:right="1474" w:bottom="1985" w:left="1588" w:header="1701" w:footer="1588" w:gutter="0"/>
          <w:cols w:space="720" w:num="1"/>
        </w:sectPr>
      </w:pPr>
    </w:p>
    <w:tbl>
      <w:tblPr>
        <w:tblStyle w:val="33"/>
        <w:tblW w:w="90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2"/>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6" w:hRule="atLeast"/>
        </w:trPr>
        <w:tc>
          <w:tcPr>
            <w:tcW w:w="2342" w:type="dxa"/>
            <w:tcBorders>
              <w:top w:val="single" w:color="000000" w:sz="2" w:space="0"/>
              <w:bottom w:val="single" w:color="000000" w:sz="2" w:space="0"/>
            </w:tcBorders>
            <w:vAlign w:val="center"/>
          </w:tcPr>
          <w:p>
            <w:pPr>
              <w:spacing w:before="81" w:line="240" w:lineRule="exact"/>
              <w:jc w:val="center"/>
              <w:rPr>
                <w:rFonts w:ascii="仿宋_GB2312" w:hAnsi="宋体" w:cs="宋体"/>
                <w:sz w:val="22"/>
                <w:szCs w:val="22"/>
              </w:rPr>
            </w:pPr>
            <w:r>
              <w:rPr>
                <w:rFonts w:hint="eastAsia" w:ascii="仿宋_GB2312" w:hAnsi="宋体" w:cs="宋体"/>
                <w:sz w:val="22"/>
                <w:szCs w:val="22"/>
              </w:rPr>
              <w:t>网上审核</w:t>
            </w:r>
          </w:p>
        </w:tc>
        <w:tc>
          <w:tcPr>
            <w:tcW w:w="6698" w:type="dxa"/>
            <w:tcBorders>
              <w:top w:val="single" w:color="000000" w:sz="2" w:space="0"/>
              <w:bottom w:val="single" w:color="000000" w:sz="2" w:space="0"/>
            </w:tcBorders>
          </w:tcPr>
          <w:p>
            <w:pPr>
              <w:spacing w:before="81"/>
              <w:rPr>
                <w:rFonts w:ascii="仿宋_GB2312" w:hAnsi="宋体" w:cs="宋体"/>
                <w:sz w:val="22"/>
                <w:szCs w:val="22"/>
              </w:rPr>
            </w:pPr>
            <w:r>
              <w:rPr>
                <w:rFonts w:hint="eastAsia" w:ascii="仿宋_GB2312" w:hAnsi="宋体" w:cs="宋体"/>
                <w:sz w:val="22"/>
                <w:szCs w:val="22"/>
              </w:rPr>
              <w:t>审核意见：</w:t>
            </w:r>
          </w:p>
          <w:p>
            <w:pPr>
              <w:rPr>
                <w:rFonts w:ascii="仿宋_GB2312"/>
                <w:sz w:val="22"/>
                <w:szCs w:val="22"/>
              </w:rPr>
            </w:pPr>
          </w:p>
          <w:p>
            <w:pPr>
              <w:rPr>
                <w:rFonts w:ascii="仿宋_GB2312"/>
                <w:sz w:val="22"/>
                <w:szCs w:val="22"/>
              </w:rPr>
            </w:pPr>
          </w:p>
          <w:p>
            <w:pPr>
              <w:pStyle w:val="2"/>
              <w:rPr>
                <w:rFonts w:ascii="仿宋_GB2312"/>
                <w:sz w:val="22"/>
                <w:szCs w:val="22"/>
              </w:rPr>
            </w:pPr>
          </w:p>
          <w:p>
            <w:pPr>
              <w:rPr>
                <w:rFonts w:ascii="仿宋_GB2312"/>
                <w:sz w:val="22"/>
                <w:szCs w:val="22"/>
              </w:rPr>
            </w:pPr>
          </w:p>
          <w:p>
            <w:pPr>
              <w:pStyle w:val="2"/>
              <w:rPr>
                <w:rFonts w:ascii="仿宋_GB2312"/>
                <w:sz w:val="22"/>
                <w:szCs w:val="22"/>
              </w:rPr>
            </w:pPr>
          </w:p>
          <w:p>
            <w:pPr>
              <w:rPr>
                <w:rFonts w:ascii="仿宋_GB2312"/>
                <w:sz w:val="22"/>
                <w:szCs w:val="22"/>
              </w:rPr>
            </w:pPr>
          </w:p>
          <w:p>
            <w:pPr>
              <w:pStyle w:val="2"/>
              <w:rPr>
                <w:rFonts w:ascii="仿宋_GB2312"/>
                <w:sz w:val="22"/>
                <w:szCs w:val="22"/>
              </w:rPr>
            </w:pPr>
          </w:p>
          <w:p>
            <w:pPr>
              <w:rPr>
                <w:rFonts w:ascii="仿宋_GB2312"/>
                <w:sz w:val="22"/>
                <w:szCs w:val="22"/>
              </w:rPr>
            </w:pPr>
          </w:p>
          <w:p>
            <w:pPr>
              <w:spacing w:before="81"/>
              <w:ind w:right="816" w:rightChars="255"/>
              <w:jc w:val="right"/>
              <w:rPr>
                <w:rFonts w:ascii="仿宋_GB2312" w:hAnsi="宋体" w:cs="宋体"/>
                <w:sz w:val="22"/>
                <w:szCs w:val="22"/>
              </w:rPr>
            </w:pPr>
            <w:r>
              <w:rPr>
                <w:rFonts w:hint="eastAsia" w:ascii="仿宋_GB2312" w:hAnsi="宋体" w:cs="宋体"/>
                <w:sz w:val="22"/>
                <w:szCs w:val="22"/>
              </w:rPr>
              <w:t xml:space="preserve">   （主管部门盖章）</w:t>
            </w:r>
          </w:p>
          <w:p>
            <w:pPr>
              <w:spacing w:before="81"/>
              <w:ind w:right="816" w:rightChars="255"/>
              <w:jc w:val="right"/>
              <w:rPr>
                <w:rFonts w:ascii="仿宋_GB2312" w:hAnsi="宋体" w:cs="宋体"/>
                <w:sz w:val="22"/>
                <w:szCs w:val="22"/>
              </w:rPr>
            </w:pPr>
            <w:r>
              <w:rPr>
                <w:rFonts w:hint="eastAsia" w:ascii="仿宋_GB2312" w:hAnsi="宋体" w:cs="宋体"/>
                <w:sz w:val="22"/>
                <w:szCs w:val="2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1" w:hRule="atLeast"/>
        </w:trPr>
        <w:tc>
          <w:tcPr>
            <w:tcW w:w="2342" w:type="dxa"/>
            <w:tcBorders>
              <w:top w:val="single" w:color="000000" w:sz="2" w:space="0"/>
              <w:bottom w:val="single" w:color="000000" w:sz="2" w:space="0"/>
            </w:tcBorders>
            <w:vAlign w:val="center"/>
          </w:tcPr>
          <w:p>
            <w:pPr>
              <w:spacing w:before="81" w:line="240" w:lineRule="exact"/>
              <w:jc w:val="center"/>
              <w:rPr>
                <w:rFonts w:ascii="仿宋_GB2312" w:hAnsi="宋体" w:cs="宋体"/>
                <w:sz w:val="22"/>
                <w:szCs w:val="22"/>
              </w:rPr>
            </w:pPr>
            <w:r>
              <w:rPr>
                <w:rFonts w:hint="eastAsia" w:ascii="仿宋_GB2312" w:hAnsi="宋体" w:cs="宋体"/>
                <w:sz w:val="22"/>
                <w:szCs w:val="22"/>
              </w:rPr>
              <w:t>现场查验</w:t>
            </w:r>
          </w:p>
        </w:tc>
        <w:tc>
          <w:tcPr>
            <w:tcW w:w="6698" w:type="dxa"/>
            <w:tcBorders>
              <w:top w:val="single" w:color="000000" w:sz="2" w:space="0"/>
              <w:bottom w:val="single" w:color="000000" w:sz="2" w:space="0"/>
            </w:tcBorders>
          </w:tcPr>
          <w:p>
            <w:pPr>
              <w:spacing w:before="82"/>
              <w:rPr>
                <w:rFonts w:ascii="仿宋_GB2312" w:hAnsi="宋体" w:cs="宋体"/>
                <w:sz w:val="22"/>
                <w:szCs w:val="22"/>
              </w:rPr>
            </w:pPr>
            <w:r>
              <w:rPr>
                <w:rFonts w:hint="eastAsia" w:ascii="仿宋_GB2312" w:hAnsi="宋体" w:cs="宋体"/>
                <w:sz w:val="22"/>
                <w:szCs w:val="22"/>
              </w:rPr>
              <w:t>查验意见：</w:t>
            </w:r>
          </w:p>
          <w:p>
            <w:pPr>
              <w:rPr>
                <w:rFonts w:ascii="仿宋_GB2312"/>
                <w:sz w:val="22"/>
                <w:szCs w:val="22"/>
              </w:rPr>
            </w:pPr>
          </w:p>
          <w:p>
            <w:pPr>
              <w:rPr>
                <w:rFonts w:ascii="仿宋_GB2312"/>
                <w:sz w:val="22"/>
                <w:szCs w:val="22"/>
              </w:rPr>
            </w:pPr>
          </w:p>
          <w:p>
            <w:pPr>
              <w:pStyle w:val="2"/>
              <w:rPr>
                <w:rFonts w:ascii="仿宋_GB2312"/>
                <w:sz w:val="22"/>
                <w:szCs w:val="22"/>
              </w:rPr>
            </w:pPr>
          </w:p>
          <w:p/>
          <w:p>
            <w:pPr>
              <w:pStyle w:val="2"/>
              <w:rPr>
                <w:rFonts w:ascii="仿宋_GB2312"/>
                <w:sz w:val="22"/>
                <w:szCs w:val="22"/>
              </w:rPr>
            </w:pPr>
          </w:p>
          <w:p/>
          <w:p>
            <w:pPr>
              <w:pStyle w:val="2"/>
              <w:ind w:left="0"/>
              <w:rPr>
                <w:rFonts w:ascii="仿宋_GB2312" w:eastAsia="仿宋_GB2312"/>
              </w:rPr>
            </w:pPr>
          </w:p>
          <w:p>
            <w:pPr>
              <w:spacing w:before="81"/>
              <w:ind w:right="816" w:rightChars="255" w:firstLine="598" w:firstLineChars="272"/>
              <w:jc w:val="right"/>
              <w:rPr>
                <w:rFonts w:ascii="仿宋_GB2312" w:hAnsi="宋体" w:cs="宋体"/>
                <w:sz w:val="22"/>
                <w:szCs w:val="22"/>
              </w:rPr>
            </w:pPr>
            <w:r>
              <w:rPr>
                <w:rFonts w:hint="eastAsia" w:ascii="仿宋_GB2312" w:hAnsi="宋体" w:cs="宋体"/>
                <w:sz w:val="22"/>
                <w:szCs w:val="22"/>
              </w:rPr>
              <w:t>（主管部门盖章）</w:t>
            </w:r>
          </w:p>
          <w:p>
            <w:pPr>
              <w:spacing w:before="81"/>
              <w:ind w:right="816" w:rightChars="255" w:firstLine="158" w:firstLineChars="72"/>
              <w:jc w:val="right"/>
              <w:rPr>
                <w:rFonts w:ascii="仿宋_GB2312" w:hAnsi="宋体" w:cs="宋体"/>
                <w:sz w:val="22"/>
                <w:szCs w:val="22"/>
              </w:rPr>
            </w:pPr>
            <w:r>
              <w:rPr>
                <w:rFonts w:hint="eastAsia" w:ascii="仿宋_GB2312" w:hAnsi="宋体" w:cs="宋体"/>
                <w:sz w:val="22"/>
                <w:szCs w:val="2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4" w:hRule="atLeast"/>
        </w:trPr>
        <w:tc>
          <w:tcPr>
            <w:tcW w:w="2342" w:type="dxa"/>
            <w:tcBorders>
              <w:top w:val="single" w:color="000000" w:sz="2" w:space="0"/>
              <w:bottom w:val="single" w:color="000000" w:sz="2" w:space="0"/>
            </w:tcBorders>
            <w:vAlign w:val="center"/>
          </w:tcPr>
          <w:p>
            <w:pPr>
              <w:spacing w:before="81" w:line="240" w:lineRule="exact"/>
              <w:jc w:val="center"/>
              <w:rPr>
                <w:rFonts w:ascii="仿宋_GB2312" w:hAnsi="宋体" w:cs="宋体"/>
                <w:sz w:val="22"/>
                <w:szCs w:val="22"/>
              </w:rPr>
            </w:pPr>
            <w:r>
              <w:rPr>
                <w:rFonts w:hint="eastAsia" w:ascii="仿宋_GB2312" w:hAnsi="宋体" w:cs="宋体"/>
                <w:sz w:val="22"/>
                <w:szCs w:val="22"/>
              </w:rPr>
              <w:t>公示情况</w:t>
            </w:r>
          </w:p>
        </w:tc>
        <w:tc>
          <w:tcPr>
            <w:tcW w:w="6698" w:type="dxa"/>
            <w:tcBorders>
              <w:top w:val="single" w:color="000000" w:sz="2" w:space="0"/>
              <w:bottom w:val="single" w:color="000000" w:sz="2" w:space="0"/>
            </w:tcBorders>
          </w:tcPr>
          <w:p>
            <w:pPr>
              <w:spacing w:before="82"/>
              <w:rPr>
                <w:rFonts w:ascii="仿宋_GB2312" w:hAnsi="宋体" w:cs="宋体"/>
                <w:sz w:val="22"/>
                <w:szCs w:val="22"/>
              </w:rPr>
            </w:pPr>
          </w:p>
          <w:p>
            <w:pPr>
              <w:rPr>
                <w:rFonts w:ascii="仿宋_GB2312" w:hAnsi="宋体" w:cs="宋体"/>
                <w:sz w:val="22"/>
                <w:szCs w:val="22"/>
              </w:rPr>
            </w:pPr>
          </w:p>
          <w:p>
            <w:pPr>
              <w:pStyle w:val="2"/>
              <w:rPr>
                <w:rFonts w:ascii="仿宋_GB2312" w:hAnsi="宋体" w:cs="宋体"/>
                <w:sz w:val="22"/>
                <w:szCs w:val="22"/>
              </w:rPr>
            </w:pPr>
          </w:p>
          <w:p/>
          <w:p>
            <w:pPr>
              <w:pStyle w:val="2"/>
              <w:rPr>
                <w:rFonts w:ascii="仿宋_GB2312" w:hAnsi="宋体" w:cs="宋体"/>
                <w:sz w:val="22"/>
                <w:szCs w:val="22"/>
              </w:rPr>
            </w:pPr>
          </w:p>
          <w:p/>
          <w:p>
            <w:pPr>
              <w:pStyle w:val="2"/>
            </w:pPr>
          </w:p>
          <w:p>
            <w:pPr>
              <w:pStyle w:val="2"/>
              <w:ind w:left="0"/>
              <w:rPr>
                <w:rFonts w:ascii="仿宋_GB2312" w:eastAsia="仿宋_GB2312"/>
              </w:rPr>
            </w:pPr>
          </w:p>
          <w:p>
            <w:pPr>
              <w:spacing w:before="73"/>
              <w:ind w:left="37" w:right="816" w:rightChars="255" w:hanging="37" w:hangingChars="17"/>
              <w:jc w:val="right"/>
              <w:rPr>
                <w:rFonts w:ascii="仿宋_GB2312" w:hAnsi="宋体" w:cs="宋体"/>
                <w:sz w:val="22"/>
                <w:szCs w:val="22"/>
              </w:rPr>
            </w:pPr>
            <w:r>
              <w:rPr>
                <w:rFonts w:hint="eastAsia" w:ascii="仿宋_GB2312" w:hAnsi="宋体" w:cs="宋体"/>
                <w:sz w:val="22"/>
                <w:szCs w:val="22"/>
              </w:rPr>
              <w:t>（主管部门盖章）</w:t>
            </w:r>
          </w:p>
          <w:p>
            <w:pPr>
              <w:spacing w:before="73"/>
              <w:ind w:right="816" w:rightChars="255" w:firstLine="182" w:firstLineChars="83"/>
              <w:jc w:val="right"/>
              <w:rPr>
                <w:rFonts w:ascii="仿宋_GB2312" w:hAnsi="宋体" w:cs="宋体"/>
                <w:sz w:val="22"/>
                <w:szCs w:val="22"/>
              </w:rPr>
            </w:pPr>
            <w:r>
              <w:rPr>
                <w:rFonts w:hint="eastAsia" w:ascii="仿宋_GB2312" w:hAnsi="宋体" w:cs="宋体"/>
                <w:sz w:val="22"/>
                <w:szCs w:val="22"/>
              </w:rPr>
              <w:t xml:space="preserve"> 年   月   日</w:t>
            </w:r>
          </w:p>
        </w:tc>
      </w:tr>
    </w:tbl>
    <w:p>
      <w:pPr>
        <w:sectPr>
          <w:footerReference r:id="rId6" w:type="default"/>
          <w:pgSz w:w="11920" w:h="16820"/>
          <w:pgMar w:top="2098" w:right="1474" w:bottom="1985" w:left="1588" w:header="1701" w:footer="1588" w:gutter="0"/>
          <w:cols w:space="720" w:num="1"/>
        </w:sectPr>
      </w:pPr>
    </w:p>
    <w:p>
      <w:pPr>
        <w:spacing w:line="223" w:lineRule="auto"/>
        <w:ind w:left="189"/>
        <w:rPr>
          <w:rFonts w:ascii="黑体" w:hAnsi="黑体" w:eastAsia="黑体" w:cs="黑体"/>
        </w:rPr>
      </w:pPr>
      <w:r>
        <w:rPr>
          <w:rFonts w:hint="eastAsia" w:ascii="黑体" w:hAnsi="黑体" w:eastAsia="黑体" w:cs="黑体"/>
        </w:rPr>
        <w:t>二、举办者身份证明文件</w:t>
      </w:r>
    </w:p>
    <w:p>
      <w:pPr>
        <w:spacing w:line="56" w:lineRule="exact"/>
      </w:pPr>
    </w:p>
    <w:tbl>
      <w:tblPr>
        <w:tblStyle w:val="33"/>
        <w:tblW w:w="907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07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755" w:hRule="atLeast"/>
          <w:jc w:val="center"/>
        </w:trPr>
        <w:tc>
          <w:tcPr>
            <w:tcW w:w="9073" w:type="dxa"/>
          </w:tcPr>
          <w:p>
            <w:pPr>
              <w:spacing w:before="223" w:line="218" w:lineRule="auto"/>
              <w:jc w:val="center"/>
              <w:rPr>
                <w:rFonts w:ascii="仿宋_GB2312" w:hAnsi="宋体" w:cs="宋体"/>
                <w:sz w:val="22"/>
                <w:szCs w:val="22"/>
              </w:rPr>
            </w:pPr>
            <w:r>
              <w:rPr>
                <w:rFonts w:hint="eastAsia" w:ascii="仿宋_GB2312" w:hAnsi="宋体" w:cs="宋体"/>
                <w:spacing w:val="-4"/>
                <w:sz w:val="22"/>
                <w:szCs w:val="22"/>
              </w:rPr>
              <w:t>身份证复印</w:t>
            </w:r>
            <w:r>
              <w:rPr>
                <w:rFonts w:hint="eastAsia" w:ascii="仿宋_GB2312" w:hAnsi="宋体" w:cs="宋体"/>
                <w:spacing w:val="-2"/>
                <w:sz w:val="22"/>
                <w:szCs w:val="22"/>
              </w:rPr>
              <w:t>件、学历复历件（张贴处）</w:t>
            </w:r>
          </w:p>
        </w:tc>
      </w:tr>
    </w:tbl>
    <w:p>
      <w:pPr>
        <w:sectPr>
          <w:footerReference r:id="rId7" w:type="default"/>
          <w:pgSz w:w="11920" w:h="16840"/>
          <w:pgMar w:top="2098" w:right="1474" w:bottom="1985" w:left="1588" w:header="1701" w:footer="1588" w:gutter="0"/>
          <w:cols w:space="720" w:num="1"/>
        </w:sectPr>
      </w:pPr>
    </w:p>
    <w:p>
      <w:pPr>
        <w:spacing w:line="223" w:lineRule="auto"/>
        <w:ind w:left="189"/>
        <w:rPr>
          <w:rFonts w:ascii="黑体" w:hAnsi="黑体" w:eastAsia="黑体" w:cs="黑体"/>
        </w:rPr>
      </w:pPr>
      <w:r>
        <w:rPr>
          <w:rFonts w:hint="eastAsia" w:ascii="黑体" w:hAnsi="黑体" w:eastAsia="黑体" w:cs="黑体"/>
        </w:rPr>
        <w:t>三、拟设立机构资金情况等有效证明文件</w:t>
      </w:r>
    </w:p>
    <w:p>
      <w:pPr>
        <w:spacing w:line="36" w:lineRule="exact"/>
      </w:pPr>
    </w:p>
    <w:tbl>
      <w:tblPr>
        <w:tblStyle w:val="33"/>
        <w:tblW w:w="93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3"/>
        <w:gridCol w:w="2868"/>
        <w:gridCol w:w="1912"/>
        <w:gridCol w:w="3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393" w:type="dxa"/>
            <w:tcBorders>
              <w:top w:val="single" w:color="000000" w:sz="2" w:space="0"/>
              <w:bottom w:val="single" w:color="000000" w:sz="2" w:space="0"/>
            </w:tcBorders>
            <w:vAlign w:val="center"/>
          </w:tcPr>
          <w:p>
            <w:pPr>
              <w:spacing w:line="244" w:lineRule="auto"/>
              <w:jc w:val="center"/>
              <w:rPr>
                <w:rFonts w:ascii="仿宋_GB2312" w:hAnsi="宋体" w:cs="宋体"/>
                <w:sz w:val="22"/>
                <w:szCs w:val="22"/>
              </w:rPr>
            </w:pPr>
            <w:r>
              <w:rPr>
                <w:rFonts w:hint="eastAsia" w:ascii="仿宋_GB2312" w:hAnsi="宋体" w:cs="宋体"/>
                <w:spacing w:val="6"/>
                <w:sz w:val="22"/>
                <w:szCs w:val="22"/>
              </w:rPr>
              <w:t>开办</w:t>
            </w:r>
            <w:r>
              <w:rPr>
                <w:rFonts w:hint="eastAsia" w:ascii="仿宋_GB2312" w:hAnsi="宋体" w:cs="宋体"/>
                <w:spacing w:val="5"/>
                <w:sz w:val="22"/>
                <w:szCs w:val="22"/>
              </w:rPr>
              <w:t>资</w:t>
            </w:r>
            <w:r>
              <w:rPr>
                <w:rFonts w:hint="eastAsia" w:ascii="仿宋_GB2312" w:hAnsi="宋体" w:cs="宋体"/>
                <w:spacing w:val="4"/>
                <w:sz w:val="22"/>
                <w:szCs w:val="22"/>
              </w:rPr>
              <w:t>金</w:t>
            </w:r>
            <w:r>
              <w:rPr>
                <w:rFonts w:hint="eastAsia" w:ascii="仿宋_GB2312" w:hAnsi="宋体" w:cs="宋体"/>
                <w:spacing w:val="16"/>
                <w:sz w:val="22"/>
                <w:szCs w:val="22"/>
              </w:rPr>
              <w:t>（元）</w:t>
            </w:r>
          </w:p>
        </w:tc>
        <w:tc>
          <w:tcPr>
            <w:tcW w:w="2868" w:type="dxa"/>
            <w:tcBorders>
              <w:top w:val="single" w:color="000000" w:sz="2" w:space="0"/>
              <w:bottom w:val="single" w:color="000000" w:sz="2" w:space="0"/>
            </w:tcBorders>
            <w:vAlign w:val="center"/>
          </w:tcPr>
          <w:p>
            <w:pPr>
              <w:jc w:val="center"/>
              <w:rPr>
                <w:rFonts w:ascii="仿宋_GB2312"/>
              </w:rPr>
            </w:pPr>
          </w:p>
        </w:tc>
        <w:tc>
          <w:tcPr>
            <w:tcW w:w="1912" w:type="dxa"/>
            <w:tcBorders>
              <w:top w:val="single" w:color="000000" w:sz="2" w:space="0"/>
              <w:bottom w:val="single" w:color="000000" w:sz="2" w:space="0"/>
            </w:tcBorders>
            <w:vAlign w:val="center"/>
          </w:tcPr>
          <w:p>
            <w:pPr>
              <w:spacing w:line="249" w:lineRule="auto"/>
              <w:ind w:hanging="110"/>
              <w:jc w:val="center"/>
              <w:rPr>
                <w:rFonts w:ascii="仿宋_GB2312" w:hAnsi="宋体" w:cs="宋体"/>
                <w:sz w:val="22"/>
                <w:szCs w:val="22"/>
              </w:rPr>
            </w:pPr>
            <w:r>
              <w:rPr>
                <w:rFonts w:hint="eastAsia" w:ascii="仿宋_GB2312" w:hAnsi="宋体" w:cs="宋体"/>
                <w:spacing w:val="-4"/>
                <w:sz w:val="22"/>
                <w:szCs w:val="22"/>
              </w:rPr>
              <w:t>风</w:t>
            </w:r>
            <w:r>
              <w:rPr>
                <w:rFonts w:hint="eastAsia" w:ascii="仿宋_GB2312" w:hAnsi="宋体" w:cs="宋体"/>
                <w:spacing w:val="-3"/>
                <w:sz w:val="22"/>
                <w:szCs w:val="22"/>
              </w:rPr>
              <w:t>险保</w:t>
            </w:r>
            <w:r>
              <w:rPr>
                <w:rFonts w:hint="eastAsia" w:ascii="仿宋_GB2312" w:hAnsi="宋体" w:cs="宋体"/>
                <w:spacing w:val="-5"/>
                <w:sz w:val="22"/>
                <w:szCs w:val="22"/>
              </w:rPr>
              <w:t>证</w:t>
            </w:r>
            <w:r>
              <w:rPr>
                <w:rFonts w:hint="eastAsia" w:ascii="仿宋_GB2312" w:hAnsi="宋体" w:cs="宋体"/>
                <w:spacing w:val="-4"/>
                <w:sz w:val="22"/>
                <w:szCs w:val="22"/>
              </w:rPr>
              <w:t>金</w:t>
            </w:r>
            <w:r>
              <w:rPr>
                <w:rFonts w:hint="eastAsia" w:ascii="仿宋_GB2312" w:hAnsi="宋体" w:cs="宋体"/>
                <w:spacing w:val="16"/>
                <w:sz w:val="22"/>
                <w:szCs w:val="22"/>
              </w:rPr>
              <w:t>（元）</w:t>
            </w:r>
          </w:p>
        </w:tc>
        <w:tc>
          <w:tcPr>
            <w:tcW w:w="3140" w:type="dxa"/>
            <w:tcBorders>
              <w:top w:val="single" w:color="000000" w:sz="2" w:space="0"/>
              <w:bottom w:val="single" w:color="000000" w:sz="2" w:space="0"/>
            </w:tcBorders>
            <w:vAlign w:val="center"/>
          </w:tcPr>
          <w:p>
            <w:pPr>
              <w:jc w:val="center"/>
              <w:rPr>
                <w:rFonts w:ascii="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393" w:type="dxa"/>
            <w:tcBorders>
              <w:top w:val="single" w:color="000000" w:sz="2" w:space="0"/>
              <w:bottom w:val="single" w:color="000000" w:sz="2" w:space="0"/>
            </w:tcBorders>
            <w:vAlign w:val="center"/>
          </w:tcPr>
          <w:p>
            <w:pPr>
              <w:spacing w:line="249" w:lineRule="auto"/>
              <w:ind w:hanging="110"/>
              <w:jc w:val="center"/>
              <w:rPr>
                <w:rFonts w:ascii="仿宋_GB2312" w:hAnsi="宋体" w:cs="宋体"/>
                <w:spacing w:val="6"/>
                <w:sz w:val="22"/>
                <w:szCs w:val="22"/>
              </w:rPr>
            </w:pPr>
            <w:r>
              <w:rPr>
                <w:rFonts w:hint="eastAsia" w:ascii="仿宋_GB2312" w:hAnsi="宋体" w:cs="宋体"/>
                <w:spacing w:val="-3"/>
                <w:sz w:val="22"/>
                <w:szCs w:val="22"/>
              </w:rPr>
              <w:t>开户银行</w:t>
            </w:r>
          </w:p>
        </w:tc>
        <w:tc>
          <w:tcPr>
            <w:tcW w:w="2868" w:type="dxa"/>
            <w:tcBorders>
              <w:top w:val="single" w:color="000000" w:sz="2" w:space="0"/>
              <w:bottom w:val="single" w:color="000000" w:sz="2" w:space="0"/>
            </w:tcBorders>
            <w:vAlign w:val="center"/>
          </w:tcPr>
          <w:p>
            <w:pPr>
              <w:jc w:val="center"/>
              <w:rPr>
                <w:rFonts w:ascii="仿宋_GB2312"/>
              </w:rPr>
            </w:pPr>
          </w:p>
        </w:tc>
        <w:tc>
          <w:tcPr>
            <w:tcW w:w="1912" w:type="dxa"/>
            <w:tcBorders>
              <w:top w:val="single" w:color="000000" w:sz="2" w:space="0"/>
              <w:bottom w:val="single" w:color="000000" w:sz="2" w:space="0"/>
            </w:tcBorders>
            <w:vAlign w:val="center"/>
          </w:tcPr>
          <w:p>
            <w:pPr>
              <w:spacing w:line="249" w:lineRule="auto"/>
              <w:ind w:hanging="110"/>
              <w:jc w:val="center"/>
              <w:rPr>
                <w:rFonts w:ascii="仿宋_GB2312" w:hAnsi="宋体" w:cs="宋体"/>
                <w:spacing w:val="-3"/>
                <w:sz w:val="22"/>
                <w:szCs w:val="22"/>
              </w:rPr>
            </w:pPr>
            <w:r>
              <w:rPr>
                <w:rFonts w:hint="eastAsia" w:ascii="仿宋_GB2312" w:hAnsi="宋体" w:cs="宋体"/>
                <w:spacing w:val="-3"/>
                <w:sz w:val="22"/>
                <w:szCs w:val="22"/>
              </w:rPr>
              <w:t>（监管专用账户）</w:t>
            </w:r>
          </w:p>
          <w:p>
            <w:pPr>
              <w:spacing w:line="249" w:lineRule="auto"/>
              <w:ind w:hanging="110"/>
              <w:jc w:val="center"/>
              <w:rPr>
                <w:rFonts w:ascii="仿宋_GB2312" w:hAnsi="宋体" w:cs="宋体"/>
                <w:spacing w:val="-3"/>
                <w:sz w:val="22"/>
                <w:szCs w:val="22"/>
              </w:rPr>
            </w:pPr>
            <w:r>
              <w:rPr>
                <w:rFonts w:hint="eastAsia" w:ascii="仿宋_GB2312" w:hAnsi="宋体" w:cs="宋体"/>
                <w:spacing w:val="-3"/>
                <w:sz w:val="22"/>
                <w:szCs w:val="22"/>
              </w:rPr>
              <w:t>帐号</w:t>
            </w:r>
          </w:p>
        </w:tc>
        <w:tc>
          <w:tcPr>
            <w:tcW w:w="3140" w:type="dxa"/>
            <w:tcBorders>
              <w:top w:val="single" w:color="000000" w:sz="2" w:space="0"/>
              <w:bottom w:val="single" w:color="000000" w:sz="2" w:space="0"/>
            </w:tcBorders>
            <w:vAlign w:val="center"/>
          </w:tcPr>
          <w:p>
            <w:pPr>
              <w:jc w:val="center"/>
              <w:rPr>
                <w:rFonts w:ascii="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4" w:hRule="atLeast"/>
        </w:trPr>
        <w:tc>
          <w:tcPr>
            <w:tcW w:w="9314" w:type="dxa"/>
            <w:gridSpan w:val="4"/>
            <w:tcBorders>
              <w:top w:val="single" w:color="000000" w:sz="2" w:space="0"/>
              <w:bottom w:val="single" w:color="000000" w:sz="2" w:space="0"/>
            </w:tcBorders>
          </w:tcPr>
          <w:p>
            <w:pPr>
              <w:spacing w:before="74" w:line="219" w:lineRule="auto"/>
              <w:jc w:val="center"/>
              <w:rPr>
                <w:rFonts w:ascii="仿宋_GB2312" w:hAnsi="宋体" w:cs="宋体"/>
                <w:sz w:val="22"/>
                <w:szCs w:val="22"/>
              </w:rPr>
            </w:pPr>
            <w:r>
              <w:rPr>
                <w:rFonts w:hint="eastAsia" w:ascii="仿宋_GB2312" w:hAnsi="宋体" w:cs="宋体"/>
                <w:spacing w:val="8"/>
                <w:sz w:val="22"/>
                <w:szCs w:val="22"/>
              </w:rPr>
              <w:t>（</w:t>
            </w:r>
            <w:r>
              <w:rPr>
                <w:rFonts w:hint="eastAsia" w:ascii="仿宋_GB2312" w:hAnsi="宋体" w:cs="宋体"/>
                <w:spacing w:val="4"/>
                <w:sz w:val="22"/>
                <w:szCs w:val="22"/>
              </w:rPr>
              <w:t>有效证明文件张贴处）</w:t>
            </w:r>
          </w:p>
        </w:tc>
      </w:tr>
    </w:tbl>
    <w:p>
      <w:pPr>
        <w:rPr>
          <w:rFonts w:ascii="Arial"/>
        </w:rPr>
      </w:pPr>
    </w:p>
    <w:p>
      <w:pPr>
        <w:sectPr>
          <w:footerReference r:id="rId8" w:type="default"/>
          <w:pgSz w:w="11920" w:h="16840"/>
          <w:pgMar w:top="2098" w:right="1474" w:bottom="1985" w:left="1588" w:header="1701" w:footer="1588" w:gutter="0"/>
          <w:cols w:space="720" w:num="1"/>
        </w:sectPr>
      </w:pPr>
    </w:p>
    <w:p>
      <w:pPr>
        <w:spacing w:line="600" w:lineRule="exact"/>
        <w:rPr>
          <w:rFonts w:ascii="黑体" w:hAnsi="黑体" w:eastAsia="黑体" w:cs="黑体"/>
        </w:rPr>
      </w:pPr>
      <w:r>
        <w:rPr>
          <w:rFonts w:hint="eastAsia" w:ascii="黑体" w:hAnsi="黑体" w:eastAsia="黑体" w:cs="黑体"/>
        </w:rPr>
        <w:t>附件6-2</w:t>
      </w:r>
    </w:p>
    <w:p>
      <w:pPr>
        <w:jc w:val="center"/>
        <w:rPr>
          <w:rFonts w:ascii="方正小标宋简体" w:eastAsia="方正小标宋简体"/>
          <w:sz w:val="44"/>
          <w:szCs w:val="44"/>
        </w:rPr>
      </w:pPr>
      <w:r>
        <w:rPr>
          <w:rFonts w:hint="eastAsia" w:ascii="方正小标宋简体" w:eastAsia="方正小标宋简体"/>
          <w:sz w:val="44"/>
          <w:szCs w:val="44"/>
        </w:rPr>
        <w:t>法定代表人身份证明</w:t>
      </w:r>
    </w:p>
    <w:p>
      <w:pPr>
        <w:spacing w:before="183" w:line="219" w:lineRule="auto"/>
        <w:jc w:val="center"/>
      </w:pPr>
      <w:r>
        <w:rPr>
          <w:rFonts w:hint="eastAsia" w:ascii="楷体_GB2312" w:hAnsi="楷体_GB2312" w:eastAsia="楷体_GB2312" w:cs="楷体_GB2312"/>
          <w:sz w:val="28"/>
          <w:szCs w:val="28"/>
        </w:rPr>
        <w:t>（样表，供参考）</w:t>
      </w:r>
    </w:p>
    <w:p>
      <w:pPr>
        <w:spacing w:line="231" w:lineRule="exact"/>
      </w:pPr>
    </w:p>
    <w:tbl>
      <w:tblPr>
        <w:tblStyle w:val="33"/>
        <w:tblW w:w="91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709"/>
        <w:gridCol w:w="1548"/>
        <w:gridCol w:w="1279"/>
        <w:gridCol w:w="792"/>
        <w:gridCol w:w="157"/>
        <w:gridCol w:w="639"/>
        <w:gridCol w:w="230"/>
        <w:gridCol w:w="968"/>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姓</w:t>
            </w:r>
            <w:r>
              <w:rPr>
                <w:rFonts w:hint="eastAsia" w:ascii="仿宋_GB2312" w:hAnsi="宋体" w:cs="宋体"/>
                <w:spacing w:val="3"/>
                <w:sz w:val="22"/>
                <w:szCs w:val="22"/>
              </w:rPr>
              <w:t xml:space="preserve">    名</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4"/>
                <w:sz w:val="22"/>
                <w:szCs w:val="22"/>
              </w:rPr>
              <w:t>性</w:t>
            </w:r>
            <w:r>
              <w:rPr>
                <w:rFonts w:hint="eastAsia" w:ascii="仿宋_GB2312" w:hAnsi="宋体" w:cs="宋体"/>
                <w:spacing w:val="11"/>
                <w:sz w:val="22"/>
                <w:szCs w:val="22"/>
              </w:rPr>
              <w:t xml:space="preserve">   别</w:t>
            </w:r>
          </w:p>
        </w:tc>
        <w:tc>
          <w:tcPr>
            <w:tcW w:w="949" w:type="dxa"/>
            <w:gridSpan w:val="2"/>
            <w:tcBorders>
              <w:top w:val="single" w:color="000000" w:sz="2" w:space="0"/>
              <w:bottom w:val="single" w:color="000000" w:sz="2" w:space="0"/>
            </w:tcBorders>
            <w:vAlign w:val="center"/>
          </w:tcPr>
          <w:p>
            <w:pPr>
              <w:jc w:val="center"/>
              <w:rPr>
                <w:rFonts w:ascii="仿宋_GB2312"/>
                <w:sz w:val="22"/>
                <w:szCs w:val="22"/>
              </w:rPr>
            </w:pPr>
          </w:p>
        </w:tc>
        <w:tc>
          <w:tcPr>
            <w:tcW w:w="869" w:type="dxa"/>
            <w:gridSpan w:val="2"/>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5"/>
                <w:sz w:val="22"/>
                <w:szCs w:val="22"/>
              </w:rPr>
              <w:t>民</w:t>
            </w:r>
            <w:r>
              <w:rPr>
                <w:rFonts w:hint="eastAsia" w:ascii="仿宋_GB2312" w:hAnsi="宋体" w:cs="宋体"/>
                <w:spacing w:val="4"/>
                <w:sz w:val="22"/>
                <w:szCs w:val="22"/>
              </w:rPr>
              <w:t>族</w:t>
            </w:r>
          </w:p>
        </w:tc>
        <w:tc>
          <w:tcPr>
            <w:tcW w:w="968" w:type="dxa"/>
            <w:tcBorders>
              <w:top w:val="single" w:color="000000" w:sz="2" w:space="0"/>
              <w:bottom w:val="single" w:color="000000" w:sz="2" w:space="0"/>
            </w:tcBorders>
            <w:vAlign w:val="center"/>
          </w:tcPr>
          <w:p>
            <w:pPr>
              <w:jc w:val="center"/>
              <w:rPr>
                <w:rFonts w:ascii="仿宋_GB2312"/>
                <w:sz w:val="22"/>
                <w:szCs w:val="22"/>
              </w:rPr>
            </w:pPr>
          </w:p>
        </w:tc>
        <w:tc>
          <w:tcPr>
            <w:tcW w:w="1713" w:type="dxa"/>
            <w:vMerge w:val="restart"/>
            <w:tcBorders>
              <w:top w:val="single" w:color="000000" w:sz="2" w:space="0"/>
              <w:bottom w:val="nil"/>
            </w:tcBorders>
            <w:textDirection w:val="tbRlV"/>
          </w:tcPr>
          <w:p>
            <w:pPr>
              <w:spacing w:line="325" w:lineRule="auto"/>
              <w:rPr>
                <w:rFonts w:ascii="仿宋_GB2312"/>
                <w:sz w:val="22"/>
                <w:szCs w:val="22"/>
              </w:rPr>
            </w:pPr>
          </w:p>
          <w:p>
            <w:pPr>
              <w:spacing w:before="73" w:line="217" w:lineRule="auto"/>
              <w:ind w:left="804"/>
              <w:rPr>
                <w:rFonts w:ascii="仿宋_GB2312" w:hAnsi="宋体" w:cs="宋体"/>
                <w:sz w:val="22"/>
                <w:szCs w:val="22"/>
              </w:rPr>
            </w:pPr>
            <w:r>
              <w:rPr>
                <w:rFonts w:hint="eastAsia" w:ascii="仿宋_GB2312" w:hAnsi="宋体" w:cs="宋体"/>
                <w:spacing w:val="110"/>
                <w:sz w:val="22"/>
                <w:szCs w:val="2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政治</w:t>
            </w:r>
            <w:r>
              <w:rPr>
                <w:rFonts w:hint="eastAsia" w:ascii="仿宋_GB2312" w:hAnsi="宋体" w:cs="宋体"/>
                <w:spacing w:val="-1"/>
                <w:sz w:val="22"/>
                <w:szCs w:val="22"/>
              </w:rPr>
              <w:t>面貌</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3"/>
                <w:sz w:val="22"/>
                <w:szCs w:val="22"/>
              </w:rPr>
              <w:t>文化程度</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nil"/>
            </w:tcBorders>
            <w:textDirection w:val="tbRlV"/>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5"/>
                <w:sz w:val="22"/>
                <w:szCs w:val="22"/>
              </w:rPr>
              <w:t>出</w:t>
            </w:r>
            <w:r>
              <w:rPr>
                <w:rFonts w:hint="eastAsia" w:ascii="仿宋_GB2312" w:hAnsi="宋体" w:cs="宋体"/>
                <w:spacing w:val="3"/>
                <w:sz w:val="22"/>
                <w:szCs w:val="22"/>
              </w:rPr>
              <w:t>生日期</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身</w:t>
            </w:r>
            <w:r>
              <w:rPr>
                <w:rFonts w:hint="eastAsia" w:ascii="仿宋_GB2312" w:hAnsi="宋体" w:cs="宋体"/>
                <w:spacing w:val="3"/>
                <w:sz w:val="22"/>
                <w:szCs w:val="22"/>
              </w:rPr>
              <w:t>份证号</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nil"/>
            </w:tcBorders>
            <w:textDirection w:val="tbRlV"/>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技</w:t>
            </w:r>
            <w:r>
              <w:rPr>
                <w:rFonts w:hint="eastAsia" w:ascii="仿宋_GB2312" w:hAnsi="宋体" w:cs="宋体"/>
                <w:spacing w:val="3"/>
                <w:sz w:val="22"/>
                <w:szCs w:val="22"/>
              </w:rPr>
              <w:t>术</w:t>
            </w:r>
            <w:r>
              <w:rPr>
                <w:rFonts w:hint="eastAsia" w:ascii="仿宋_GB2312" w:hAnsi="宋体" w:cs="宋体"/>
                <w:spacing w:val="2"/>
                <w:sz w:val="22"/>
                <w:szCs w:val="22"/>
              </w:rPr>
              <w:t>职称</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7"/>
                <w:sz w:val="22"/>
                <w:szCs w:val="22"/>
              </w:rPr>
              <w:t>本人签名</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single" w:color="000000" w:sz="2" w:space="0"/>
            </w:tcBorders>
            <w:textDirection w:val="tbRlV"/>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300" w:lineRule="exact"/>
              <w:jc w:val="center"/>
              <w:rPr>
                <w:rFonts w:ascii="仿宋_GB2312" w:hAnsi="宋体" w:cs="宋体"/>
                <w:sz w:val="22"/>
                <w:szCs w:val="22"/>
              </w:rPr>
            </w:pPr>
            <w:r>
              <w:rPr>
                <w:rFonts w:hint="eastAsia" w:ascii="仿宋_GB2312" w:hAnsi="宋体" w:cs="宋体"/>
                <w:spacing w:val="16"/>
                <w:position w:val="5"/>
                <w:sz w:val="22"/>
                <w:szCs w:val="22"/>
              </w:rPr>
              <w:t>户口</w:t>
            </w:r>
          </w:p>
          <w:p>
            <w:pPr>
              <w:spacing w:line="215" w:lineRule="auto"/>
              <w:jc w:val="center"/>
              <w:rPr>
                <w:rFonts w:ascii="仿宋_GB2312" w:hAnsi="宋体" w:cs="宋体"/>
                <w:sz w:val="22"/>
                <w:szCs w:val="22"/>
              </w:rPr>
            </w:pPr>
            <w:r>
              <w:rPr>
                <w:rFonts w:hint="eastAsia" w:ascii="仿宋_GB2312" w:hAnsi="宋体" w:cs="宋体"/>
                <w:spacing w:val="-2"/>
                <w:sz w:val="22"/>
                <w:szCs w:val="22"/>
              </w:rPr>
              <w:t>所在地</w:t>
            </w:r>
          </w:p>
        </w:tc>
        <w:tc>
          <w:tcPr>
            <w:tcW w:w="8035" w:type="dxa"/>
            <w:gridSpan w:val="9"/>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4"/>
                <w:sz w:val="22"/>
                <w:szCs w:val="22"/>
              </w:rPr>
              <w:t>家</w:t>
            </w:r>
            <w:r>
              <w:rPr>
                <w:rFonts w:hint="eastAsia" w:ascii="仿宋_GB2312" w:hAnsi="宋体" w:cs="宋体"/>
                <w:spacing w:val="2"/>
                <w:sz w:val="22"/>
                <w:szCs w:val="22"/>
              </w:rPr>
              <w:t>庭住址</w:t>
            </w:r>
          </w:p>
        </w:tc>
        <w:tc>
          <w:tcPr>
            <w:tcW w:w="3536" w:type="dxa"/>
            <w:gridSpan w:val="3"/>
            <w:tcBorders>
              <w:top w:val="single" w:color="000000" w:sz="2" w:space="0"/>
              <w:bottom w:val="single" w:color="000000" w:sz="2" w:space="0"/>
            </w:tcBorders>
            <w:vAlign w:val="center"/>
          </w:tcPr>
          <w:p>
            <w:pPr>
              <w:jc w:val="center"/>
              <w:rPr>
                <w:rFonts w:ascii="仿宋_GB2312"/>
                <w:sz w:val="22"/>
                <w:szCs w:val="22"/>
              </w:rPr>
            </w:pPr>
          </w:p>
        </w:tc>
        <w:tc>
          <w:tcPr>
            <w:tcW w:w="792"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邮编</w:t>
            </w:r>
          </w:p>
        </w:tc>
        <w:tc>
          <w:tcPr>
            <w:tcW w:w="1026" w:type="dxa"/>
            <w:gridSpan w:val="3"/>
            <w:tcBorders>
              <w:top w:val="single" w:color="000000" w:sz="2" w:space="0"/>
              <w:bottom w:val="single" w:color="000000" w:sz="2" w:space="0"/>
            </w:tcBorders>
            <w:vAlign w:val="center"/>
          </w:tcPr>
          <w:p>
            <w:pPr>
              <w:jc w:val="center"/>
              <w:rPr>
                <w:rFonts w:ascii="仿宋_GB2312"/>
                <w:sz w:val="22"/>
                <w:szCs w:val="22"/>
              </w:rPr>
            </w:pPr>
          </w:p>
        </w:tc>
        <w:tc>
          <w:tcPr>
            <w:tcW w:w="968"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13"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29" w:lineRule="auto"/>
              <w:ind w:right="98"/>
              <w:jc w:val="center"/>
              <w:rPr>
                <w:rFonts w:ascii="仿宋_GB2312" w:hAnsi="宋体" w:cs="宋体"/>
                <w:sz w:val="22"/>
                <w:szCs w:val="22"/>
              </w:rPr>
            </w:pPr>
            <w:r>
              <w:rPr>
                <w:rFonts w:hint="eastAsia" w:ascii="仿宋_GB2312" w:hAnsi="宋体" w:cs="宋体"/>
                <w:spacing w:val="5"/>
                <w:sz w:val="22"/>
                <w:szCs w:val="22"/>
              </w:rPr>
              <w:t>人事关系</w:t>
            </w:r>
            <w:r>
              <w:rPr>
                <w:rFonts w:hint="eastAsia" w:ascii="仿宋_GB2312" w:hAnsi="宋体" w:cs="宋体"/>
                <w:spacing w:val="-2"/>
                <w:sz w:val="22"/>
                <w:szCs w:val="22"/>
              </w:rPr>
              <w:t>所在单</w:t>
            </w:r>
            <w:r>
              <w:rPr>
                <w:rFonts w:hint="eastAsia" w:ascii="仿宋_GB2312" w:hAnsi="宋体" w:cs="宋体"/>
                <w:spacing w:val="-1"/>
                <w:sz w:val="22"/>
                <w:szCs w:val="22"/>
              </w:rPr>
              <w:t>位</w:t>
            </w:r>
          </w:p>
        </w:tc>
        <w:tc>
          <w:tcPr>
            <w:tcW w:w="5354" w:type="dxa"/>
            <w:gridSpan w:val="7"/>
            <w:tcBorders>
              <w:top w:val="single" w:color="000000" w:sz="2" w:space="0"/>
              <w:bottom w:val="single" w:color="000000" w:sz="2" w:space="0"/>
            </w:tcBorders>
            <w:vAlign w:val="center"/>
          </w:tcPr>
          <w:p>
            <w:pPr>
              <w:jc w:val="center"/>
              <w:rPr>
                <w:rFonts w:ascii="仿宋_GB2312"/>
                <w:sz w:val="22"/>
                <w:szCs w:val="22"/>
              </w:rPr>
            </w:pPr>
          </w:p>
        </w:tc>
        <w:tc>
          <w:tcPr>
            <w:tcW w:w="968"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13"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9159" w:type="dxa"/>
            <w:gridSpan w:val="10"/>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5"/>
                <w:sz w:val="22"/>
                <w:szCs w:val="22"/>
              </w:rPr>
              <w:t>本</w:t>
            </w:r>
            <w:r>
              <w:rPr>
                <w:rFonts w:hint="eastAsia" w:ascii="仿宋_GB2312" w:hAnsi="宋体" w:cs="宋体"/>
                <w:spacing w:val="3"/>
                <w:sz w:val="22"/>
                <w:szCs w:val="22"/>
              </w:rPr>
              <w:t>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何</w:t>
            </w:r>
            <w:r>
              <w:rPr>
                <w:rFonts w:hint="eastAsia" w:ascii="仿宋_GB2312" w:hAnsi="宋体" w:cs="宋体"/>
                <w:spacing w:val="6"/>
                <w:sz w:val="22"/>
                <w:szCs w:val="22"/>
              </w:rPr>
              <w:t>年月至何年月</w:t>
            </w:r>
          </w:p>
        </w:tc>
        <w:tc>
          <w:tcPr>
            <w:tcW w:w="4415" w:type="dxa"/>
            <w:gridSpan w:val="5"/>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
                <w:sz w:val="22"/>
                <w:szCs w:val="22"/>
              </w:rPr>
              <w:t>在何地区何单位</w:t>
            </w:r>
          </w:p>
        </w:tc>
        <w:tc>
          <w:tcPr>
            <w:tcW w:w="2911" w:type="dxa"/>
            <w:gridSpan w:val="3"/>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任</w:t>
            </w:r>
            <w:r>
              <w:rPr>
                <w:rFonts w:hint="eastAsia" w:ascii="仿宋_GB2312" w:hAnsi="宋体" w:cs="宋体"/>
                <w:spacing w:val="-1"/>
                <w:sz w:val="22"/>
                <w:szCs w:val="22"/>
              </w:rPr>
              <w:t>（兼）何职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3" w:hRule="atLeast"/>
        </w:trPr>
        <w:tc>
          <w:tcPr>
            <w:tcW w:w="9159" w:type="dxa"/>
            <w:gridSpan w:val="10"/>
            <w:tcBorders>
              <w:top w:val="single" w:color="000000" w:sz="2" w:space="0"/>
              <w:bottom w:val="single" w:color="000000" w:sz="2" w:space="0"/>
            </w:tcBorders>
            <w:vAlign w:val="center"/>
          </w:tcPr>
          <w:p>
            <w:pPr>
              <w:spacing w:line="314" w:lineRule="auto"/>
              <w:jc w:val="center"/>
              <w:rPr>
                <w:rFonts w:ascii="仿宋_GB2312"/>
                <w:sz w:val="22"/>
                <w:szCs w:val="22"/>
              </w:rPr>
            </w:pPr>
          </w:p>
          <w:p>
            <w:pPr>
              <w:spacing w:line="320" w:lineRule="exact"/>
              <w:jc w:val="center"/>
              <w:rPr>
                <w:rFonts w:ascii="仿宋_GB2312"/>
                <w:sz w:val="22"/>
                <w:szCs w:val="22"/>
              </w:rPr>
            </w:pPr>
            <w:r>
              <w:rPr>
                <w:rFonts w:hint="eastAsia" w:ascii="仿宋_GB2312"/>
                <w:sz w:val="22"/>
                <w:szCs w:val="22"/>
              </w:rPr>
              <w:t>法定代表人</w:t>
            </w:r>
          </w:p>
          <w:p>
            <w:pPr>
              <w:spacing w:line="219" w:lineRule="auto"/>
              <w:jc w:val="center"/>
              <w:rPr>
                <w:rFonts w:ascii="仿宋_GB2312"/>
                <w:sz w:val="22"/>
                <w:szCs w:val="22"/>
              </w:rPr>
            </w:pPr>
            <w:r>
              <w:rPr>
                <w:rFonts w:hint="eastAsia" w:ascii="仿宋_GB2312"/>
                <w:sz w:val="22"/>
                <w:szCs w:val="22"/>
              </w:rPr>
              <w:t>身份证复印件粘贴处</w:t>
            </w:r>
          </w:p>
          <w:p>
            <w:pPr>
              <w:jc w:val="center"/>
              <w:rPr>
                <w:rFonts w:ascii="仿宋_GB2312"/>
                <w:sz w:val="22"/>
                <w:szCs w:val="22"/>
              </w:rPr>
            </w:pPr>
          </w:p>
          <w:p>
            <w:pPr>
              <w:rPr>
                <w:rFonts w:ascii="仿宋_GB2312"/>
                <w:sz w:val="22"/>
                <w:szCs w:val="22"/>
              </w:rPr>
            </w:pPr>
          </w:p>
        </w:tc>
      </w:tr>
    </w:tbl>
    <w:p>
      <w:pPr>
        <w:spacing w:line="500" w:lineRule="exact"/>
        <w:ind w:left="255"/>
        <w:rPr>
          <w:rFonts w:ascii="仿宋_GB2312" w:hAnsi="仿宋" w:cs="仿宋"/>
          <w:sz w:val="22"/>
          <w:szCs w:val="22"/>
        </w:rPr>
      </w:pPr>
      <w:r>
        <w:rPr>
          <w:rFonts w:ascii="仿宋_GB2312" w:hAnsi="仿宋" w:cs="仿宋"/>
          <w:sz w:val="22"/>
          <w:szCs w:val="22"/>
        </w:rPr>
        <w:t>注：需附本人身份证、学历证、户口本复印件。</w:t>
      </w:r>
    </w:p>
    <w:p>
      <w:pPr>
        <w:spacing w:line="500" w:lineRule="exact"/>
        <w:ind w:left="255"/>
        <w:rPr>
          <w:rFonts w:ascii="仿宋_GB2312" w:hAnsi="仿宋" w:cs="仿宋"/>
          <w:sz w:val="22"/>
          <w:szCs w:val="22"/>
        </w:rPr>
        <w:sectPr>
          <w:footerReference r:id="rId9" w:type="default"/>
          <w:pgSz w:w="11940" w:h="16840"/>
          <w:pgMar w:top="2098" w:right="1474" w:bottom="1985" w:left="1588" w:header="1701" w:footer="1588" w:gutter="0"/>
          <w:cols w:space="720" w:num="1"/>
        </w:sectPr>
      </w:pPr>
    </w:p>
    <w:p>
      <w:pPr>
        <w:jc w:val="center"/>
        <w:rPr>
          <w:rFonts w:ascii="方正小标宋简体" w:eastAsia="方正小标宋简体"/>
          <w:sz w:val="44"/>
          <w:szCs w:val="44"/>
        </w:rPr>
      </w:pPr>
      <w:r>
        <w:rPr>
          <w:rFonts w:hint="eastAsia" w:ascii="方正小标宋简体" w:eastAsia="方正小标宋简体"/>
          <w:sz w:val="44"/>
          <w:szCs w:val="44"/>
        </w:rPr>
        <w:t>行政负责人身份证明</w:t>
      </w:r>
    </w:p>
    <w:p>
      <w:pPr>
        <w:spacing w:before="183" w:line="219" w:lineRule="auto"/>
        <w:jc w:val="center"/>
      </w:pPr>
      <w:r>
        <w:rPr>
          <w:rFonts w:hint="eastAsia" w:ascii="楷体_GB2312" w:hAnsi="楷体_GB2312" w:eastAsia="楷体_GB2312" w:cs="楷体_GB2312"/>
          <w:sz w:val="28"/>
          <w:szCs w:val="28"/>
        </w:rPr>
        <w:t>（样表，供参考）</w:t>
      </w:r>
    </w:p>
    <w:p>
      <w:pPr>
        <w:spacing w:line="231" w:lineRule="exact"/>
      </w:pPr>
    </w:p>
    <w:tbl>
      <w:tblPr>
        <w:tblStyle w:val="33"/>
        <w:tblW w:w="91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709"/>
        <w:gridCol w:w="1548"/>
        <w:gridCol w:w="1279"/>
        <w:gridCol w:w="687"/>
        <w:gridCol w:w="262"/>
        <w:gridCol w:w="639"/>
        <w:gridCol w:w="230"/>
        <w:gridCol w:w="968"/>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姓</w:t>
            </w:r>
            <w:r>
              <w:rPr>
                <w:rFonts w:hint="eastAsia" w:ascii="仿宋_GB2312" w:hAnsi="宋体" w:cs="宋体"/>
                <w:spacing w:val="3"/>
                <w:sz w:val="22"/>
                <w:szCs w:val="22"/>
              </w:rPr>
              <w:t xml:space="preserve">    名</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4"/>
                <w:sz w:val="22"/>
                <w:szCs w:val="22"/>
              </w:rPr>
              <w:t>性</w:t>
            </w:r>
            <w:r>
              <w:rPr>
                <w:rFonts w:hint="eastAsia" w:ascii="仿宋_GB2312" w:hAnsi="宋体" w:cs="宋体"/>
                <w:spacing w:val="11"/>
                <w:sz w:val="22"/>
                <w:szCs w:val="22"/>
              </w:rPr>
              <w:t xml:space="preserve">    别</w:t>
            </w:r>
          </w:p>
        </w:tc>
        <w:tc>
          <w:tcPr>
            <w:tcW w:w="949" w:type="dxa"/>
            <w:gridSpan w:val="2"/>
            <w:tcBorders>
              <w:top w:val="single" w:color="000000" w:sz="2" w:space="0"/>
              <w:bottom w:val="single" w:color="000000" w:sz="2" w:space="0"/>
            </w:tcBorders>
            <w:vAlign w:val="center"/>
          </w:tcPr>
          <w:p>
            <w:pPr>
              <w:jc w:val="center"/>
              <w:rPr>
                <w:rFonts w:ascii="仿宋_GB2312"/>
                <w:sz w:val="22"/>
                <w:szCs w:val="22"/>
              </w:rPr>
            </w:pPr>
          </w:p>
        </w:tc>
        <w:tc>
          <w:tcPr>
            <w:tcW w:w="869" w:type="dxa"/>
            <w:gridSpan w:val="2"/>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5"/>
                <w:sz w:val="22"/>
                <w:szCs w:val="22"/>
              </w:rPr>
              <w:t>民</w:t>
            </w:r>
            <w:r>
              <w:rPr>
                <w:rFonts w:hint="eastAsia" w:ascii="仿宋_GB2312" w:hAnsi="宋体" w:cs="宋体"/>
                <w:spacing w:val="4"/>
                <w:sz w:val="22"/>
                <w:szCs w:val="22"/>
              </w:rPr>
              <w:t>族</w:t>
            </w:r>
          </w:p>
        </w:tc>
        <w:tc>
          <w:tcPr>
            <w:tcW w:w="968" w:type="dxa"/>
            <w:tcBorders>
              <w:top w:val="single" w:color="000000" w:sz="2" w:space="0"/>
              <w:bottom w:val="single" w:color="000000" w:sz="2" w:space="0"/>
            </w:tcBorders>
            <w:vAlign w:val="center"/>
          </w:tcPr>
          <w:p>
            <w:pPr>
              <w:jc w:val="center"/>
              <w:rPr>
                <w:rFonts w:ascii="仿宋_GB2312"/>
                <w:sz w:val="22"/>
                <w:szCs w:val="22"/>
              </w:rPr>
            </w:pPr>
          </w:p>
        </w:tc>
        <w:tc>
          <w:tcPr>
            <w:tcW w:w="1713" w:type="dxa"/>
            <w:vMerge w:val="restart"/>
            <w:tcBorders>
              <w:top w:val="single" w:color="000000" w:sz="2" w:space="0"/>
              <w:bottom w:val="nil"/>
            </w:tcBorders>
          </w:tcPr>
          <w:p>
            <w:pPr>
              <w:spacing w:line="325" w:lineRule="auto"/>
              <w:rPr>
                <w:rFonts w:ascii="仿宋_GB2312"/>
                <w:sz w:val="22"/>
                <w:szCs w:val="22"/>
              </w:rPr>
            </w:pPr>
          </w:p>
          <w:p>
            <w:pPr>
              <w:spacing w:before="73" w:line="217" w:lineRule="auto"/>
              <w:jc w:val="center"/>
              <w:rPr>
                <w:rFonts w:ascii="仿宋_GB2312" w:hAnsi="宋体" w:cs="宋体"/>
                <w:spacing w:val="110"/>
                <w:sz w:val="22"/>
                <w:szCs w:val="22"/>
              </w:rPr>
            </w:pPr>
          </w:p>
          <w:p>
            <w:pPr>
              <w:spacing w:before="73" w:line="217" w:lineRule="auto"/>
              <w:jc w:val="center"/>
              <w:rPr>
                <w:rFonts w:ascii="仿宋_GB2312" w:hAnsi="宋体" w:cs="宋体"/>
                <w:spacing w:val="110"/>
                <w:sz w:val="22"/>
                <w:szCs w:val="22"/>
              </w:rPr>
            </w:pPr>
          </w:p>
          <w:p>
            <w:pPr>
              <w:spacing w:before="73" w:line="217" w:lineRule="auto"/>
              <w:jc w:val="center"/>
              <w:rPr>
                <w:rFonts w:ascii="仿宋_GB2312" w:hAnsi="宋体" w:cs="宋体"/>
                <w:sz w:val="22"/>
                <w:szCs w:val="22"/>
              </w:rPr>
            </w:pPr>
            <w:r>
              <w:rPr>
                <w:rFonts w:hint="eastAsia" w:ascii="仿宋_GB2312" w:hAnsi="宋体" w:cs="宋体"/>
                <w:spacing w:val="110"/>
                <w:sz w:val="22"/>
                <w:szCs w:val="22"/>
              </w:rPr>
              <w:t xml:space="preserve"> 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政治</w:t>
            </w:r>
            <w:r>
              <w:rPr>
                <w:rFonts w:hint="eastAsia" w:ascii="仿宋_GB2312" w:hAnsi="宋体" w:cs="宋体"/>
                <w:spacing w:val="-1"/>
                <w:sz w:val="22"/>
                <w:szCs w:val="22"/>
              </w:rPr>
              <w:t>面貌</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3"/>
                <w:sz w:val="22"/>
                <w:szCs w:val="22"/>
              </w:rPr>
              <w:t>文化程度</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nil"/>
            </w:tcBorders>
            <w:textDirection w:val="tbRlV"/>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5"/>
                <w:sz w:val="22"/>
                <w:szCs w:val="22"/>
              </w:rPr>
              <w:t>出</w:t>
            </w:r>
            <w:r>
              <w:rPr>
                <w:rFonts w:hint="eastAsia" w:ascii="仿宋_GB2312" w:hAnsi="宋体" w:cs="宋体"/>
                <w:spacing w:val="3"/>
                <w:sz w:val="22"/>
                <w:szCs w:val="22"/>
              </w:rPr>
              <w:t>生日期</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身</w:t>
            </w:r>
            <w:r>
              <w:rPr>
                <w:rFonts w:hint="eastAsia" w:ascii="仿宋_GB2312" w:hAnsi="宋体" w:cs="宋体"/>
                <w:spacing w:val="3"/>
                <w:sz w:val="22"/>
                <w:szCs w:val="22"/>
              </w:rPr>
              <w:t>份证号</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nil"/>
            </w:tcBorders>
            <w:textDirection w:val="tbRlV"/>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技</w:t>
            </w:r>
            <w:r>
              <w:rPr>
                <w:rFonts w:hint="eastAsia" w:ascii="仿宋_GB2312" w:hAnsi="宋体" w:cs="宋体"/>
                <w:spacing w:val="3"/>
                <w:sz w:val="22"/>
                <w:szCs w:val="22"/>
              </w:rPr>
              <w:t>术</w:t>
            </w:r>
            <w:r>
              <w:rPr>
                <w:rFonts w:hint="eastAsia" w:ascii="仿宋_GB2312" w:hAnsi="宋体" w:cs="宋体"/>
                <w:spacing w:val="2"/>
                <w:sz w:val="22"/>
                <w:szCs w:val="22"/>
              </w:rPr>
              <w:t>职称</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7"/>
                <w:sz w:val="22"/>
                <w:szCs w:val="22"/>
              </w:rPr>
              <w:t>本人签名</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single" w:color="000000" w:sz="2" w:space="0"/>
            </w:tcBorders>
            <w:textDirection w:val="tbRlV"/>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300" w:lineRule="exact"/>
              <w:jc w:val="center"/>
              <w:rPr>
                <w:rFonts w:ascii="仿宋_GB2312" w:hAnsi="宋体" w:cs="宋体"/>
                <w:sz w:val="22"/>
                <w:szCs w:val="22"/>
              </w:rPr>
            </w:pPr>
            <w:r>
              <w:rPr>
                <w:rFonts w:hint="eastAsia" w:ascii="仿宋_GB2312" w:hAnsi="宋体" w:cs="宋体"/>
                <w:spacing w:val="16"/>
                <w:position w:val="5"/>
                <w:sz w:val="22"/>
                <w:szCs w:val="22"/>
              </w:rPr>
              <w:t>户口</w:t>
            </w:r>
          </w:p>
          <w:p>
            <w:pPr>
              <w:spacing w:line="215" w:lineRule="auto"/>
              <w:jc w:val="center"/>
              <w:rPr>
                <w:rFonts w:ascii="仿宋_GB2312" w:hAnsi="宋体" w:cs="宋体"/>
                <w:sz w:val="22"/>
                <w:szCs w:val="22"/>
              </w:rPr>
            </w:pPr>
            <w:r>
              <w:rPr>
                <w:rFonts w:hint="eastAsia" w:ascii="仿宋_GB2312" w:hAnsi="宋体" w:cs="宋体"/>
                <w:spacing w:val="-2"/>
                <w:sz w:val="22"/>
                <w:szCs w:val="22"/>
              </w:rPr>
              <w:t>所在地</w:t>
            </w:r>
          </w:p>
        </w:tc>
        <w:tc>
          <w:tcPr>
            <w:tcW w:w="8035" w:type="dxa"/>
            <w:gridSpan w:val="9"/>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4"/>
                <w:sz w:val="22"/>
                <w:szCs w:val="22"/>
              </w:rPr>
              <w:t>家</w:t>
            </w:r>
            <w:r>
              <w:rPr>
                <w:rFonts w:hint="eastAsia" w:ascii="仿宋_GB2312" w:hAnsi="宋体" w:cs="宋体"/>
                <w:spacing w:val="2"/>
                <w:sz w:val="22"/>
                <w:szCs w:val="22"/>
              </w:rPr>
              <w:t>庭住址</w:t>
            </w:r>
          </w:p>
        </w:tc>
        <w:tc>
          <w:tcPr>
            <w:tcW w:w="3536" w:type="dxa"/>
            <w:gridSpan w:val="3"/>
            <w:tcBorders>
              <w:top w:val="single" w:color="000000" w:sz="2" w:space="0"/>
              <w:bottom w:val="single" w:color="000000" w:sz="2" w:space="0"/>
            </w:tcBorders>
            <w:vAlign w:val="center"/>
          </w:tcPr>
          <w:p>
            <w:pPr>
              <w:jc w:val="center"/>
              <w:rPr>
                <w:rFonts w:ascii="仿宋_GB2312"/>
                <w:sz w:val="22"/>
                <w:szCs w:val="22"/>
              </w:rPr>
            </w:pPr>
          </w:p>
        </w:tc>
        <w:tc>
          <w:tcPr>
            <w:tcW w:w="687"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邮编</w:t>
            </w:r>
          </w:p>
        </w:tc>
        <w:tc>
          <w:tcPr>
            <w:tcW w:w="1131" w:type="dxa"/>
            <w:gridSpan w:val="3"/>
            <w:tcBorders>
              <w:top w:val="single" w:color="000000" w:sz="2" w:space="0"/>
              <w:bottom w:val="single" w:color="000000" w:sz="2" w:space="0"/>
            </w:tcBorders>
            <w:vAlign w:val="center"/>
          </w:tcPr>
          <w:p>
            <w:pPr>
              <w:jc w:val="center"/>
              <w:rPr>
                <w:rFonts w:ascii="仿宋_GB2312"/>
                <w:sz w:val="22"/>
                <w:szCs w:val="22"/>
              </w:rPr>
            </w:pPr>
          </w:p>
        </w:tc>
        <w:tc>
          <w:tcPr>
            <w:tcW w:w="968"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13"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124" w:type="dxa"/>
            <w:tcBorders>
              <w:top w:val="single" w:color="000000" w:sz="2" w:space="0"/>
              <w:bottom w:val="single" w:color="000000" w:sz="2" w:space="0"/>
            </w:tcBorders>
            <w:vAlign w:val="center"/>
          </w:tcPr>
          <w:p>
            <w:pPr>
              <w:spacing w:line="229" w:lineRule="auto"/>
              <w:ind w:right="98"/>
              <w:jc w:val="center"/>
              <w:rPr>
                <w:rFonts w:ascii="仿宋_GB2312" w:hAnsi="宋体" w:cs="宋体"/>
                <w:sz w:val="22"/>
                <w:szCs w:val="22"/>
              </w:rPr>
            </w:pPr>
            <w:r>
              <w:rPr>
                <w:rFonts w:hint="eastAsia" w:ascii="仿宋_GB2312" w:hAnsi="宋体" w:cs="宋体"/>
                <w:spacing w:val="5"/>
                <w:sz w:val="22"/>
                <w:szCs w:val="22"/>
              </w:rPr>
              <w:t>人事关系</w:t>
            </w:r>
            <w:r>
              <w:rPr>
                <w:rFonts w:hint="eastAsia" w:ascii="仿宋_GB2312" w:hAnsi="宋体" w:cs="宋体"/>
                <w:spacing w:val="-2"/>
                <w:sz w:val="22"/>
                <w:szCs w:val="22"/>
              </w:rPr>
              <w:t>所在单</w:t>
            </w:r>
            <w:r>
              <w:rPr>
                <w:rFonts w:hint="eastAsia" w:ascii="仿宋_GB2312" w:hAnsi="宋体" w:cs="宋体"/>
                <w:spacing w:val="-1"/>
                <w:sz w:val="22"/>
                <w:szCs w:val="22"/>
              </w:rPr>
              <w:t>位</w:t>
            </w:r>
          </w:p>
        </w:tc>
        <w:tc>
          <w:tcPr>
            <w:tcW w:w="5354" w:type="dxa"/>
            <w:gridSpan w:val="7"/>
            <w:tcBorders>
              <w:top w:val="single" w:color="000000" w:sz="2" w:space="0"/>
              <w:bottom w:val="single" w:color="000000" w:sz="2" w:space="0"/>
            </w:tcBorders>
            <w:vAlign w:val="center"/>
          </w:tcPr>
          <w:p>
            <w:pPr>
              <w:jc w:val="center"/>
              <w:rPr>
                <w:rFonts w:ascii="仿宋_GB2312"/>
                <w:sz w:val="22"/>
                <w:szCs w:val="22"/>
              </w:rPr>
            </w:pPr>
          </w:p>
        </w:tc>
        <w:tc>
          <w:tcPr>
            <w:tcW w:w="968"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13"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9159" w:type="dxa"/>
            <w:gridSpan w:val="10"/>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5"/>
                <w:sz w:val="22"/>
                <w:szCs w:val="22"/>
              </w:rPr>
              <w:t>本</w:t>
            </w:r>
            <w:r>
              <w:rPr>
                <w:rFonts w:hint="eastAsia" w:ascii="仿宋_GB2312" w:hAnsi="宋体" w:cs="宋体"/>
                <w:spacing w:val="3"/>
                <w:sz w:val="22"/>
                <w:szCs w:val="22"/>
              </w:rPr>
              <w:t>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何</w:t>
            </w:r>
            <w:r>
              <w:rPr>
                <w:rFonts w:hint="eastAsia" w:ascii="仿宋_GB2312" w:hAnsi="宋体" w:cs="宋体"/>
                <w:spacing w:val="6"/>
                <w:sz w:val="22"/>
                <w:szCs w:val="22"/>
              </w:rPr>
              <w:t>年月至何年月</w:t>
            </w:r>
          </w:p>
        </w:tc>
        <w:tc>
          <w:tcPr>
            <w:tcW w:w="4415" w:type="dxa"/>
            <w:gridSpan w:val="5"/>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
                <w:sz w:val="22"/>
                <w:szCs w:val="22"/>
              </w:rPr>
              <w:t>在何地区何单位</w:t>
            </w:r>
          </w:p>
        </w:tc>
        <w:tc>
          <w:tcPr>
            <w:tcW w:w="2911" w:type="dxa"/>
            <w:gridSpan w:val="3"/>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任</w:t>
            </w:r>
            <w:r>
              <w:rPr>
                <w:rFonts w:hint="eastAsia" w:ascii="仿宋_GB2312" w:hAnsi="宋体" w:cs="宋体"/>
                <w:spacing w:val="-1"/>
                <w:sz w:val="22"/>
                <w:szCs w:val="22"/>
              </w:rPr>
              <w:t>（兼）何职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0" w:hRule="atLeast"/>
        </w:trPr>
        <w:tc>
          <w:tcPr>
            <w:tcW w:w="9159" w:type="dxa"/>
            <w:gridSpan w:val="10"/>
            <w:tcBorders>
              <w:top w:val="single" w:color="000000" w:sz="2" w:space="0"/>
              <w:bottom w:val="single" w:color="000000" w:sz="2" w:space="0"/>
            </w:tcBorders>
            <w:vAlign w:val="center"/>
          </w:tcPr>
          <w:p>
            <w:pPr>
              <w:spacing w:line="314" w:lineRule="auto"/>
              <w:jc w:val="center"/>
              <w:rPr>
                <w:rFonts w:ascii="仿宋_GB2312"/>
                <w:sz w:val="22"/>
                <w:szCs w:val="22"/>
              </w:rPr>
            </w:pPr>
          </w:p>
          <w:p>
            <w:pPr>
              <w:spacing w:line="320" w:lineRule="exact"/>
              <w:jc w:val="center"/>
              <w:rPr>
                <w:rFonts w:ascii="仿宋_GB2312"/>
                <w:sz w:val="22"/>
                <w:szCs w:val="22"/>
              </w:rPr>
            </w:pPr>
            <w:r>
              <w:rPr>
                <w:rFonts w:hint="eastAsia" w:ascii="仿宋_GB2312"/>
                <w:sz w:val="22"/>
                <w:szCs w:val="22"/>
              </w:rPr>
              <w:t>行政负责人</w:t>
            </w:r>
          </w:p>
          <w:p>
            <w:pPr>
              <w:spacing w:line="219" w:lineRule="auto"/>
              <w:jc w:val="center"/>
              <w:rPr>
                <w:rFonts w:ascii="仿宋_GB2312"/>
                <w:sz w:val="22"/>
                <w:szCs w:val="22"/>
              </w:rPr>
            </w:pPr>
            <w:r>
              <w:rPr>
                <w:rFonts w:hint="eastAsia" w:ascii="仿宋_GB2312"/>
                <w:sz w:val="22"/>
                <w:szCs w:val="22"/>
              </w:rPr>
              <w:t>身份证复印件粘贴处</w:t>
            </w:r>
          </w:p>
          <w:p>
            <w:pPr>
              <w:jc w:val="center"/>
              <w:rPr>
                <w:rFonts w:ascii="仿宋_GB2312"/>
                <w:sz w:val="22"/>
                <w:szCs w:val="22"/>
              </w:rPr>
            </w:pPr>
          </w:p>
        </w:tc>
      </w:tr>
    </w:tbl>
    <w:p>
      <w:pPr>
        <w:spacing w:line="500" w:lineRule="exact"/>
        <w:ind w:left="255"/>
        <w:rPr>
          <w:rFonts w:ascii="仿宋_GB2312" w:hAnsi="仿宋" w:cs="仿宋"/>
          <w:sz w:val="22"/>
          <w:szCs w:val="22"/>
        </w:rPr>
      </w:pPr>
      <w:r>
        <w:rPr>
          <w:rFonts w:ascii="仿宋_GB2312" w:hAnsi="仿宋" w:cs="仿宋"/>
          <w:sz w:val="22"/>
          <w:szCs w:val="22"/>
        </w:rPr>
        <w:t>注：需附本人身份证、学历证、户口本复印件。</w:t>
      </w:r>
    </w:p>
    <w:p>
      <w:pPr>
        <w:spacing w:line="500" w:lineRule="exact"/>
        <w:ind w:left="255"/>
        <w:rPr>
          <w:rFonts w:ascii="仿宋_GB2312" w:hAnsi="仿宋" w:cs="仿宋"/>
          <w:sz w:val="22"/>
          <w:szCs w:val="22"/>
        </w:rPr>
        <w:sectPr>
          <w:footerReference r:id="rId10" w:type="default"/>
          <w:pgSz w:w="11940" w:h="16840"/>
          <w:pgMar w:top="2098" w:right="1474" w:bottom="1985" w:left="1588" w:header="1701" w:footer="1588" w:gutter="0"/>
          <w:cols w:space="720" w:num="1"/>
        </w:sectPr>
      </w:pPr>
    </w:p>
    <w:p>
      <w:pPr>
        <w:spacing w:before="110" w:line="224" w:lineRule="auto"/>
        <w:rPr>
          <w:rFonts w:ascii="黑体" w:hAnsi="黑体" w:eastAsia="黑体" w:cs="黑体"/>
        </w:rPr>
      </w:pPr>
      <w:r>
        <w:rPr>
          <w:rFonts w:hint="eastAsia" w:ascii="黑体" w:hAnsi="黑体" w:eastAsia="黑体" w:cs="黑体"/>
        </w:rPr>
        <w:t>附件6-3</w:t>
      </w:r>
    </w:p>
    <w:p>
      <w:pPr>
        <w:spacing w:line="251" w:lineRule="auto"/>
        <w:rPr>
          <w:rFonts w:ascii="Arial"/>
        </w:rPr>
      </w:pPr>
    </w:p>
    <w:p>
      <w:pPr>
        <w:jc w:val="center"/>
        <w:rPr>
          <w:rFonts w:ascii="方正小标宋简体" w:eastAsia="方正小标宋简体"/>
          <w:sz w:val="44"/>
          <w:szCs w:val="44"/>
        </w:rPr>
      </w:pPr>
      <w:r>
        <w:rPr>
          <w:rFonts w:hint="eastAsia" w:ascii="方正小标宋简体" w:eastAsia="方正小标宋简体"/>
          <w:sz w:val="44"/>
          <w:szCs w:val="44"/>
        </w:rPr>
        <w:t>四川省非学科类校外培训机构从业人员明细表</w:t>
      </w:r>
    </w:p>
    <w:p>
      <w:pPr>
        <w:spacing w:before="183" w:line="219" w:lineRule="auto"/>
        <w:jc w:val="center"/>
        <w:rPr>
          <w:rFonts w:ascii="Arial"/>
        </w:rPr>
      </w:pPr>
      <w:r>
        <w:rPr>
          <w:rFonts w:hint="eastAsia" w:ascii="楷体_GB2312" w:hAnsi="楷体_GB2312" w:eastAsia="楷体_GB2312" w:cs="楷体_GB2312"/>
          <w:sz w:val="28"/>
          <w:szCs w:val="28"/>
        </w:rPr>
        <w:t>（样表，供参考）</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培训机构名称：</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法定代表人签字：</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举办者签字：                                      年       月        日</w:t>
      </w:r>
    </w:p>
    <w:p>
      <w:pPr>
        <w:spacing w:line="16" w:lineRule="exact"/>
        <w:rPr>
          <w:rFonts w:ascii="仿宋_GB2312"/>
          <w:sz w:val="22"/>
          <w:szCs w:val="22"/>
        </w:rPr>
      </w:pPr>
    </w:p>
    <w:tbl>
      <w:tblPr>
        <w:tblStyle w:val="33"/>
        <w:tblW w:w="92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063"/>
        <w:gridCol w:w="690"/>
        <w:gridCol w:w="1545"/>
        <w:gridCol w:w="1590"/>
        <w:gridCol w:w="1890"/>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674"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序号</w:t>
            </w:r>
          </w:p>
        </w:tc>
        <w:tc>
          <w:tcPr>
            <w:tcW w:w="1063"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姓名</w:t>
            </w:r>
          </w:p>
        </w:tc>
        <w:tc>
          <w:tcPr>
            <w:tcW w:w="690"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性别</w:t>
            </w:r>
          </w:p>
        </w:tc>
        <w:tc>
          <w:tcPr>
            <w:tcW w:w="1545"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管理人员/专职教师/兼职教师</w:t>
            </w:r>
          </w:p>
        </w:tc>
        <w:tc>
          <w:tcPr>
            <w:tcW w:w="1590"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学历、职称</w:t>
            </w:r>
          </w:p>
        </w:tc>
        <w:tc>
          <w:tcPr>
            <w:tcW w:w="1890"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身份证号码</w:t>
            </w:r>
          </w:p>
        </w:tc>
        <w:tc>
          <w:tcPr>
            <w:tcW w:w="1767"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常住地址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bl>
    <w:p>
      <w:pPr>
        <w:spacing w:line="400" w:lineRule="exact"/>
        <w:rPr>
          <w:rFonts w:ascii="仿宋" w:hAnsi="仿宋" w:eastAsia="仿宋" w:cs="仿宋"/>
          <w:spacing w:val="-7"/>
          <w:sz w:val="24"/>
        </w:rPr>
      </w:pPr>
      <w:r>
        <w:rPr>
          <w:rFonts w:hint="eastAsia" w:ascii="仿宋_GB2312" w:hAnsi="仿宋" w:cs="仿宋"/>
          <w:sz w:val="22"/>
          <w:szCs w:val="22"/>
        </w:rPr>
        <w:t>说明：此表填写的是一个培训点的全部人员。需附从业人员身份证复印件、健康证明、相关从业资质证明和安全保卫人员安全背景审查材料，以及所有人员无失信、犯罪和不良从业记录承诺。</w:t>
      </w:r>
    </w:p>
    <w:p>
      <w:pPr>
        <w:sectPr>
          <w:footerReference r:id="rId11" w:type="default"/>
          <w:pgSz w:w="11960" w:h="16840"/>
          <w:pgMar w:top="2098" w:right="1474" w:bottom="1985" w:left="1588" w:header="1701" w:footer="1588" w:gutter="0"/>
          <w:cols w:space="720" w:num="1"/>
        </w:sectPr>
      </w:pPr>
    </w:p>
    <w:p>
      <w:pPr>
        <w:spacing w:before="110" w:line="224" w:lineRule="auto"/>
        <w:rPr>
          <w:rFonts w:ascii="黑体" w:hAnsi="黑体" w:eastAsia="黑体" w:cs="黑体"/>
        </w:rPr>
      </w:pPr>
      <w:r>
        <w:rPr>
          <w:rFonts w:hint="eastAsia" w:ascii="黑体" w:hAnsi="黑体" w:eastAsia="黑体" w:cs="黑体"/>
        </w:rPr>
        <w:t>附件6-4</w:t>
      </w:r>
    </w:p>
    <w:p>
      <w:pPr>
        <w:spacing w:line="272" w:lineRule="auto"/>
        <w:rPr>
          <w:rFonts w:ascii="Arial"/>
        </w:rPr>
      </w:pPr>
    </w:p>
    <w:p>
      <w:pPr>
        <w:jc w:val="center"/>
        <w:rPr>
          <w:rFonts w:ascii="方正小标宋简体" w:eastAsia="方正小标宋简体"/>
          <w:sz w:val="44"/>
          <w:szCs w:val="44"/>
        </w:rPr>
      </w:pPr>
      <w:r>
        <w:rPr>
          <w:rFonts w:hint="eastAsia" w:ascii="方正小标宋简体" w:eastAsia="方正小标宋简体"/>
          <w:sz w:val="44"/>
          <w:szCs w:val="44"/>
        </w:rPr>
        <w:t>四川省非学科类校外培训机构培训材料备案表</w:t>
      </w:r>
    </w:p>
    <w:p>
      <w:pPr>
        <w:spacing w:before="183" w:line="219" w:lineRule="auto"/>
        <w:jc w:val="center"/>
        <w:rPr>
          <w:rFonts w:ascii="Arial"/>
        </w:rPr>
      </w:pPr>
      <w:r>
        <w:rPr>
          <w:rFonts w:hint="eastAsia" w:ascii="楷体_GB2312" w:hAnsi="楷体_GB2312" w:eastAsia="楷体_GB2312" w:cs="楷体_GB2312"/>
          <w:sz w:val="28"/>
          <w:szCs w:val="28"/>
        </w:rPr>
        <w:t>（样表，供参考）</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培训机构名称：</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法定代表人签字：</w:t>
      </w:r>
    </w:p>
    <w:p>
      <w:pPr>
        <w:spacing w:line="480" w:lineRule="exact"/>
        <w:ind w:firstLine="283" w:firstLineChars="129"/>
        <w:rPr>
          <w:rFonts w:ascii="仿宋_GB2312"/>
          <w:sz w:val="22"/>
          <w:szCs w:val="22"/>
        </w:rPr>
      </w:pPr>
      <w:r>
        <w:rPr>
          <w:rFonts w:hint="eastAsia" w:ascii="仿宋_GB2312" w:hAnsi="仿宋" w:cs="仿宋"/>
          <w:sz w:val="22"/>
          <w:szCs w:val="22"/>
        </w:rPr>
        <w:t>举办者签字：                                       年      月      日</w:t>
      </w:r>
    </w:p>
    <w:tbl>
      <w:tblPr>
        <w:tblStyle w:val="33"/>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2319"/>
        <w:gridCol w:w="2625"/>
        <w:gridCol w:w="3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724"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序号</w:t>
            </w:r>
          </w:p>
        </w:tc>
        <w:tc>
          <w:tcPr>
            <w:tcW w:w="2319"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培训材料名称</w:t>
            </w:r>
          </w:p>
        </w:tc>
        <w:tc>
          <w:tcPr>
            <w:tcW w:w="2625"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图书出版号</w:t>
            </w:r>
          </w:p>
        </w:tc>
        <w:tc>
          <w:tcPr>
            <w:tcW w:w="3551"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bl>
    <w:p>
      <w:pPr>
        <w:spacing w:line="480" w:lineRule="exact"/>
        <w:rPr>
          <w:rFonts w:ascii="仿宋_GB2312" w:hAnsi="仿宋" w:cs="仿宋"/>
          <w:sz w:val="22"/>
          <w:szCs w:val="22"/>
        </w:rPr>
      </w:pPr>
      <w:r>
        <w:rPr>
          <w:rFonts w:hint="eastAsia" w:ascii="仿宋_GB2312" w:hAnsi="仿宋" w:cs="仿宋"/>
          <w:sz w:val="22"/>
          <w:szCs w:val="22"/>
        </w:rPr>
        <w:t>说明：自编材料应在“备注”栏内注明，同时注明编写和审核人员。</w:t>
      </w:r>
    </w:p>
    <w:sectPr>
      <w:footerReference r:id="rId12" w:type="default"/>
      <w:pgSz w:w="11906" w:h="16838"/>
      <w:pgMar w:top="2098" w:right="1474" w:bottom="1985" w:left="1588" w:header="1701" w:footer="1588" w:gutter="0"/>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汉仪大黑简">
    <w:altName w:val="黑体"/>
    <w:panose1 w:val="02010600000101010101"/>
    <w:charset w:val="86"/>
    <w:family w:val="auto"/>
    <w:pitch w:val="default"/>
    <w:sig w:usb0="00000000" w:usb1="00000000" w:usb2="00000002"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20" w:leftChars="100"/>
      <w:rPr>
        <w:rStyle w:val="15"/>
        <w:rFonts w:ascii="宋体" w:hAnsi="宋体"/>
        <w:sz w:val="28"/>
        <w:szCs w:val="28"/>
      </w:rPr>
    </w:pPr>
    <w:r>
      <w:rPr>
        <w:rStyle w:val="15"/>
        <w:rFonts w:hint="eastAsia"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2</w:t>
    </w:r>
    <w:r>
      <w:rPr>
        <w:rStyle w:val="15"/>
        <w:rFonts w:ascii="宋体" w:hAnsi="宋体"/>
        <w:sz w:val="28"/>
        <w:szCs w:val="28"/>
      </w:rPr>
      <w:fldChar w:fldCharType="end"/>
    </w:r>
    <w:r>
      <w:rPr>
        <w:rStyle w:val="15"/>
        <w:rFonts w:hint="eastAsia" w:ascii="宋体" w:hAnsi="宋体"/>
        <w:sz w:val="28"/>
        <w:szCs w:val="28"/>
      </w:rPr>
      <w:t xml:space="preserve"> —</w:t>
    </w:r>
  </w:p>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71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right="320" w:rightChars="100"/>
      <w:rPr>
        <w:rStyle w:val="15"/>
        <w:rFonts w:ascii="宋体" w:hAnsi="宋体"/>
        <w:sz w:val="28"/>
        <w:szCs w:val="28"/>
      </w:rPr>
    </w:pPr>
    <w:r>
      <w:rPr>
        <w:rStyle w:val="15"/>
        <w:rFonts w:hint="eastAsia" w:ascii="宋体" w:hAnsi="宋体"/>
        <w:sz w:val="28"/>
        <w:szCs w:val="28"/>
      </w:rPr>
      <w:t xml:space="preserve">— </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9</w:t>
    </w:r>
    <w:r>
      <w:rPr>
        <w:rStyle w:val="15"/>
        <w:rFonts w:ascii="宋体" w:hAnsi="宋体"/>
        <w:sz w:val="28"/>
        <w:szCs w:val="28"/>
      </w:rPr>
      <w:fldChar w:fldCharType="end"/>
    </w:r>
    <w:r>
      <w:rPr>
        <w:rStyle w:val="15"/>
        <w:rFonts w:hint="eastAsia" w:ascii="宋体" w:hAnsi="宋体"/>
        <w:sz w:val="28"/>
        <w:szCs w:val="28"/>
      </w:rPr>
      <w:t xml:space="preserve"> —</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E5741"/>
    <w:multiLevelType w:val="singleLevel"/>
    <w:tmpl w:val="D7EE574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87"/>
    <w:rsid w:val="00003D49"/>
    <w:rsid w:val="00021016"/>
    <w:rsid w:val="00043247"/>
    <w:rsid w:val="00050D90"/>
    <w:rsid w:val="000C25B8"/>
    <w:rsid w:val="000E394C"/>
    <w:rsid w:val="001250F1"/>
    <w:rsid w:val="00145223"/>
    <w:rsid w:val="00190404"/>
    <w:rsid w:val="001A5276"/>
    <w:rsid w:val="001A6813"/>
    <w:rsid w:val="001B1DBD"/>
    <w:rsid w:val="00213CF6"/>
    <w:rsid w:val="00216E87"/>
    <w:rsid w:val="00272098"/>
    <w:rsid w:val="002741A5"/>
    <w:rsid w:val="002A2162"/>
    <w:rsid w:val="002E5A66"/>
    <w:rsid w:val="002F420E"/>
    <w:rsid w:val="002F4CF1"/>
    <w:rsid w:val="002F5178"/>
    <w:rsid w:val="00301884"/>
    <w:rsid w:val="003114BE"/>
    <w:rsid w:val="003253E1"/>
    <w:rsid w:val="00370F3B"/>
    <w:rsid w:val="003801D7"/>
    <w:rsid w:val="00397ACB"/>
    <w:rsid w:val="00397F85"/>
    <w:rsid w:val="003B5D21"/>
    <w:rsid w:val="004070AE"/>
    <w:rsid w:val="004230CE"/>
    <w:rsid w:val="004271FF"/>
    <w:rsid w:val="00443557"/>
    <w:rsid w:val="00456441"/>
    <w:rsid w:val="00490D8F"/>
    <w:rsid w:val="00494B26"/>
    <w:rsid w:val="005049F7"/>
    <w:rsid w:val="00517CC3"/>
    <w:rsid w:val="005668AA"/>
    <w:rsid w:val="00583006"/>
    <w:rsid w:val="00593176"/>
    <w:rsid w:val="005D175F"/>
    <w:rsid w:val="005D40D2"/>
    <w:rsid w:val="00601542"/>
    <w:rsid w:val="00667261"/>
    <w:rsid w:val="00683555"/>
    <w:rsid w:val="006D3CF4"/>
    <w:rsid w:val="00792559"/>
    <w:rsid w:val="007D6E76"/>
    <w:rsid w:val="007D7CD5"/>
    <w:rsid w:val="008401B0"/>
    <w:rsid w:val="00844CE0"/>
    <w:rsid w:val="00856523"/>
    <w:rsid w:val="00875788"/>
    <w:rsid w:val="008825D0"/>
    <w:rsid w:val="008B3F72"/>
    <w:rsid w:val="008B5596"/>
    <w:rsid w:val="009177B5"/>
    <w:rsid w:val="00927C29"/>
    <w:rsid w:val="00947723"/>
    <w:rsid w:val="00966A7D"/>
    <w:rsid w:val="0097204F"/>
    <w:rsid w:val="009914A7"/>
    <w:rsid w:val="009C7ED1"/>
    <w:rsid w:val="009E337E"/>
    <w:rsid w:val="00A0747A"/>
    <w:rsid w:val="00A23B5D"/>
    <w:rsid w:val="00A60187"/>
    <w:rsid w:val="00A74D55"/>
    <w:rsid w:val="00AA1168"/>
    <w:rsid w:val="00AB01FA"/>
    <w:rsid w:val="00AB0547"/>
    <w:rsid w:val="00AB1272"/>
    <w:rsid w:val="00AE4B97"/>
    <w:rsid w:val="00AE7977"/>
    <w:rsid w:val="00B0257A"/>
    <w:rsid w:val="00B6022A"/>
    <w:rsid w:val="00B739F9"/>
    <w:rsid w:val="00B83574"/>
    <w:rsid w:val="00BA27A1"/>
    <w:rsid w:val="00BA2E96"/>
    <w:rsid w:val="00BA346E"/>
    <w:rsid w:val="00BF0C91"/>
    <w:rsid w:val="00C10A23"/>
    <w:rsid w:val="00C478E4"/>
    <w:rsid w:val="00C57243"/>
    <w:rsid w:val="00C62196"/>
    <w:rsid w:val="00C63549"/>
    <w:rsid w:val="00CC35DD"/>
    <w:rsid w:val="00CD06A2"/>
    <w:rsid w:val="00CD5068"/>
    <w:rsid w:val="00CD79EC"/>
    <w:rsid w:val="00CE1844"/>
    <w:rsid w:val="00D1022E"/>
    <w:rsid w:val="00D11F8E"/>
    <w:rsid w:val="00D259E1"/>
    <w:rsid w:val="00D3329A"/>
    <w:rsid w:val="00D46B2C"/>
    <w:rsid w:val="00D5233C"/>
    <w:rsid w:val="00D57FCA"/>
    <w:rsid w:val="00DA27B3"/>
    <w:rsid w:val="00DB55EC"/>
    <w:rsid w:val="00DB7407"/>
    <w:rsid w:val="00DE18E3"/>
    <w:rsid w:val="00DE483E"/>
    <w:rsid w:val="00DF74FF"/>
    <w:rsid w:val="00E25519"/>
    <w:rsid w:val="00E541CB"/>
    <w:rsid w:val="00EB6082"/>
    <w:rsid w:val="00EC50C6"/>
    <w:rsid w:val="00EE7ECE"/>
    <w:rsid w:val="00F079FA"/>
    <w:rsid w:val="00F13416"/>
    <w:rsid w:val="00F14CA1"/>
    <w:rsid w:val="00F24217"/>
    <w:rsid w:val="00F82C25"/>
    <w:rsid w:val="00F90832"/>
    <w:rsid w:val="00FC59B4"/>
    <w:rsid w:val="00FD020E"/>
    <w:rsid w:val="00FE175D"/>
    <w:rsid w:val="00FE4FAE"/>
    <w:rsid w:val="042278B9"/>
    <w:rsid w:val="056F72B2"/>
    <w:rsid w:val="07B471FE"/>
    <w:rsid w:val="07D1965D"/>
    <w:rsid w:val="07E8334B"/>
    <w:rsid w:val="07EDE8B5"/>
    <w:rsid w:val="08FE4E9B"/>
    <w:rsid w:val="09EF402F"/>
    <w:rsid w:val="0AAF5D11"/>
    <w:rsid w:val="0B835865"/>
    <w:rsid w:val="0BFD6453"/>
    <w:rsid w:val="0D902BD3"/>
    <w:rsid w:val="0DEBCE3E"/>
    <w:rsid w:val="0F39F386"/>
    <w:rsid w:val="0F7B866A"/>
    <w:rsid w:val="0FBC7598"/>
    <w:rsid w:val="0FF5FB94"/>
    <w:rsid w:val="0FFD3F54"/>
    <w:rsid w:val="10CD7582"/>
    <w:rsid w:val="10DD7717"/>
    <w:rsid w:val="125E464C"/>
    <w:rsid w:val="12A04F4F"/>
    <w:rsid w:val="1335569D"/>
    <w:rsid w:val="137FEFA8"/>
    <w:rsid w:val="13F8B5E8"/>
    <w:rsid w:val="15BF6ADE"/>
    <w:rsid w:val="15FF4CCB"/>
    <w:rsid w:val="16D52CED"/>
    <w:rsid w:val="17BFF7C2"/>
    <w:rsid w:val="17EF6A87"/>
    <w:rsid w:val="17F7C94F"/>
    <w:rsid w:val="17F7DEFC"/>
    <w:rsid w:val="198B3B37"/>
    <w:rsid w:val="19F7A142"/>
    <w:rsid w:val="1ADDB0C8"/>
    <w:rsid w:val="1AEFAB26"/>
    <w:rsid w:val="1B7F40A6"/>
    <w:rsid w:val="1BAF9094"/>
    <w:rsid w:val="1BED8DB7"/>
    <w:rsid w:val="1BFDB942"/>
    <w:rsid w:val="1CDFD24B"/>
    <w:rsid w:val="1D4FCC45"/>
    <w:rsid w:val="1D7F6258"/>
    <w:rsid w:val="1DE7951B"/>
    <w:rsid w:val="1E34479D"/>
    <w:rsid w:val="1E3F7F31"/>
    <w:rsid w:val="1E6F3BD7"/>
    <w:rsid w:val="1EDF26A5"/>
    <w:rsid w:val="1EDFE8ED"/>
    <w:rsid w:val="1EF70EBC"/>
    <w:rsid w:val="1F6FB6C8"/>
    <w:rsid w:val="1F7FEC1D"/>
    <w:rsid w:val="1F9AB3DB"/>
    <w:rsid w:val="1FCE3B66"/>
    <w:rsid w:val="1FDFE4BB"/>
    <w:rsid w:val="1FE6BD0C"/>
    <w:rsid w:val="1FEA8F6D"/>
    <w:rsid w:val="1FEFF818"/>
    <w:rsid w:val="1FFF438F"/>
    <w:rsid w:val="1FFF73AA"/>
    <w:rsid w:val="1FFF9218"/>
    <w:rsid w:val="1FFFB9AA"/>
    <w:rsid w:val="22136808"/>
    <w:rsid w:val="22B91715"/>
    <w:rsid w:val="240F3CE2"/>
    <w:rsid w:val="26EC789F"/>
    <w:rsid w:val="26EE6A99"/>
    <w:rsid w:val="27BEB11D"/>
    <w:rsid w:val="27D73B90"/>
    <w:rsid w:val="298FA97B"/>
    <w:rsid w:val="2A3E70CF"/>
    <w:rsid w:val="2AC141B7"/>
    <w:rsid w:val="2B5BCDDC"/>
    <w:rsid w:val="2B979D26"/>
    <w:rsid w:val="2D35D703"/>
    <w:rsid w:val="2DCFC60A"/>
    <w:rsid w:val="2DDFDCD0"/>
    <w:rsid w:val="2EF75933"/>
    <w:rsid w:val="2F5619C4"/>
    <w:rsid w:val="2F5EEA78"/>
    <w:rsid w:val="2F7A8008"/>
    <w:rsid w:val="2F9DB658"/>
    <w:rsid w:val="2FD70672"/>
    <w:rsid w:val="2FEFB806"/>
    <w:rsid w:val="2FF58AE3"/>
    <w:rsid w:val="2FF9A4AA"/>
    <w:rsid w:val="2FFF39EB"/>
    <w:rsid w:val="2FFF5E7E"/>
    <w:rsid w:val="3197C63C"/>
    <w:rsid w:val="31B65808"/>
    <w:rsid w:val="328F5FEE"/>
    <w:rsid w:val="32EE0454"/>
    <w:rsid w:val="33DF6A1B"/>
    <w:rsid w:val="33FD37D1"/>
    <w:rsid w:val="33FF3F0D"/>
    <w:rsid w:val="359FCE7A"/>
    <w:rsid w:val="35EB3E83"/>
    <w:rsid w:val="35F7A573"/>
    <w:rsid w:val="35FF995F"/>
    <w:rsid w:val="362E033D"/>
    <w:rsid w:val="366FCD4C"/>
    <w:rsid w:val="3687BF11"/>
    <w:rsid w:val="36AF09A9"/>
    <w:rsid w:val="36EFDD39"/>
    <w:rsid w:val="36FC76EB"/>
    <w:rsid w:val="375F924A"/>
    <w:rsid w:val="37647A49"/>
    <w:rsid w:val="377FAB11"/>
    <w:rsid w:val="37B300F2"/>
    <w:rsid w:val="37CADE44"/>
    <w:rsid w:val="37E9DB49"/>
    <w:rsid w:val="38B75B50"/>
    <w:rsid w:val="392E030F"/>
    <w:rsid w:val="397BD48B"/>
    <w:rsid w:val="39EF5AF3"/>
    <w:rsid w:val="39F1C85B"/>
    <w:rsid w:val="39F3BEF1"/>
    <w:rsid w:val="39F7841C"/>
    <w:rsid w:val="3AAF5C6A"/>
    <w:rsid w:val="3AB8D184"/>
    <w:rsid w:val="3ACEB772"/>
    <w:rsid w:val="3AED5FA8"/>
    <w:rsid w:val="3B2FC724"/>
    <w:rsid w:val="3B59B136"/>
    <w:rsid w:val="3B7DD77A"/>
    <w:rsid w:val="3BCB8296"/>
    <w:rsid w:val="3BDB5906"/>
    <w:rsid w:val="3BDFB60B"/>
    <w:rsid w:val="3BEA8156"/>
    <w:rsid w:val="3BED2B70"/>
    <w:rsid w:val="3BEF0725"/>
    <w:rsid w:val="3BEFA91A"/>
    <w:rsid w:val="3BFDCD54"/>
    <w:rsid w:val="3BFFB4BB"/>
    <w:rsid w:val="3C1F53AA"/>
    <w:rsid w:val="3CD71F8A"/>
    <w:rsid w:val="3CF78C43"/>
    <w:rsid w:val="3CFCBAB0"/>
    <w:rsid w:val="3D351E2F"/>
    <w:rsid w:val="3D6F8698"/>
    <w:rsid w:val="3D77BC8C"/>
    <w:rsid w:val="3D7EB16A"/>
    <w:rsid w:val="3D7F68CE"/>
    <w:rsid w:val="3D7FCC54"/>
    <w:rsid w:val="3D9B1509"/>
    <w:rsid w:val="3DC606F3"/>
    <w:rsid w:val="3DCD2055"/>
    <w:rsid w:val="3DDE30F3"/>
    <w:rsid w:val="3DDEE605"/>
    <w:rsid w:val="3DDEFE0C"/>
    <w:rsid w:val="3DE58F43"/>
    <w:rsid w:val="3DF43055"/>
    <w:rsid w:val="3DF43789"/>
    <w:rsid w:val="3DF7316A"/>
    <w:rsid w:val="3DF9283E"/>
    <w:rsid w:val="3DFF235A"/>
    <w:rsid w:val="3DFF5C1C"/>
    <w:rsid w:val="3E1DFF46"/>
    <w:rsid w:val="3E3F3EFE"/>
    <w:rsid w:val="3E58C20F"/>
    <w:rsid w:val="3E5B41FC"/>
    <w:rsid w:val="3E5E445C"/>
    <w:rsid w:val="3EDDFD1B"/>
    <w:rsid w:val="3EF2AB79"/>
    <w:rsid w:val="3EF6C931"/>
    <w:rsid w:val="3EF76DD2"/>
    <w:rsid w:val="3EFC0F0A"/>
    <w:rsid w:val="3EFD79C8"/>
    <w:rsid w:val="3EFF1B4A"/>
    <w:rsid w:val="3EFF7B79"/>
    <w:rsid w:val="3F6EC8E1"/>
    <w:rsid w:val="3F72628D"/>
    <w:rsid w:val="3F7D157D"/>
    <w:rsid w:val="3F7F649B"/>
    <w:rsid w:val="3F9AC849"/>
    <w:rsid w:val="3F9E0668"/>
    <w:rsid w:val="3F9F3165"/>
    <w:rsid w:val="3FA57A32"/>
    <w:rsid w:val="3FAF62E3"/>
    <w:rsid w:val="3FBB2858"/>
    <w:rsid w:val="3FBF11E7"/>
    <w:rsid w:val="3FCF9759"/>
    <w:rsid w:val="3FD49AC8"/>
    <w:rsid w:val="3FD54B3C"/>
    <w:rsid w:val="3FDB4906"/>
    <w:rsid w:val="3FE6A588"/>
    <w:rsid w:val="3FEA0B80"/>
    <w:rsid w:val="3FEFD136"/>
    <w:rsid w:val="3FFB2788"/>
    <w:rsid w:val="3FFC61D7"/>
    <w:rsid w:val="3FFD7A56"/>
    <w:rsid w:val="3FFDBDC1"/>
    <w:rsid w:val="3FFE8729"/>
    <w:rsid w:val="3FFF2DCC"/>
    <w:rsid w:val="3FFF5474"/>
    <w:rsid w:val="3FFF5CCA"/>
    <w:rsid w:val="3FFFC932"/>
    <w:rsid w:val="3FFFEC59"/>
    <w:rsid w:val="406D3E12"/>
    <w:rsid w:val="41FD5AD1"/>
    <w:rsid w:val="436BF21D"/>
    <w:rsid w:val="44FEA014"/>
    <w:rsid w:val="453EF511"/>
    <w:rsid w:val="459FE6C2"/>
    <w:rsid w:val="45F795C3"/>
    <w:rsid w:val="45F7AA10"/>
    <w:rsid w:val="45FF0F00"/>
    <w:rsid w:val="45FF2817"/>
    <w:rsid w:val="47DC74D8"/>
    <w:rsid w:val="47DEF6B0"/>
    <w:rsid w:val="47DF3B27"/>
    <w:rsid w:val="47E47376"/>
    <w:rsid w:val="47F719E1"/>
    <w:rsid w:val="47FB2216"/>
    <w:rsid w:val="496F554A"/>
    <w:rsid w:val="4ABE8BA1"/>
    <w:rsid w:val="4AFFAC52"/>
    <w:rsid w:val="4B1FC545"/>
    <w:rsid w:val="4BEF58B2"/>
    <w:rsid w:val="4BFBE268"/>
    <w:rsid w:val="4E36ECBB"/>
    <w:rsid w:val="4EF9F521"/>
    <w:rsid w:val="4F73E456"/>
    <w:rsid w:val="4F7B2AD8"/>
    <w:rsid w:val="4FBF7A4D"/>
    <w:rsid w:val="4FD3E6AE"/>
    <w:rsid w:val="4FFDED43"/>
    <w:rsid w:val="517EB938"/>
    <w:rsid w:val="517F573A"/>
    <w:rsid w:val="51B0810B"/>
    <w:rsid w:val="51EF3610"/>
    <w:rsid w:val="51FED7AB"/>
    <w:rsid w:val="5217A926"/>
    <w:rsid w:val="53BF7540"/>
    <w:rsid w:val="53EFD958"/>
    <w:rsid w:val="53F2F368"/>
    <w:rsid w:val="53F7178B"/>
    <w:rsid w:val="53FC0155"/>
    <w:rsid w:val="53FE145B"/>
    <w:rsid w:val="53FEDD3F"/>
    <w:rsid w:val="54BE8A67"/>
    <w:rsid w:val="54FC6E4F"/>
    <w:rsid w:val="556F5BEB"/>
    <w:rsid w:val="55D772EF"/>
    <w:rsid w:val="55F5EB70"/>
    <w:rsid w:val="55FD0163"/>
    <w:rsid w:val="55FEB7D2"/>
    <w:rsid w:val="55FFE2A4"/>
    <w:rsid w:val="56F88960"/>
    <w:rsid w:val="56FF85C7"/>
    <w:rsid w:val="574F1023"/>
    <w:rsid w:val="57576A52"/>
    <w:rsid w:val="575EBD79"/>
    <w:rsid w:val="577FD804"/>
    <w:rsid w:val="577FF66A"/>
    <w:rsid w:val="57933669"/>
    <w:rsid w:val="57A587D6"/>
    <w:rsid w:val="57ADB359"/>
    <w:rsid w:val="57ADE3A9"/>
    <w:rsid w:val="57BF1257"/>
    <w:rsid w:val="57BF1D2D"/>
    <w:rsid w:val="57BF3EA2"/>
    <w:rsid w:val="57F711E3"/>
    <w:rsid w:val="57F73D15"/>
    <w:rsid w:val="57FA5D43"/>
    <w:rsid w:val="57FBDEFB"/>
    <w:rsid w:val="587F8BFE"/>
    <w:rsid w:val="59491F87"/>
    <w:rsid w:val="59DFFD41"/>
    <w:rsid w:val="5A494B51"/>
    <w:rsid w:val="5AFC299A"/>
    <w:rsid w:val="5AFFFF5C"/>
    <w:rsid w:val="5B3F81AF"/>
    <w:rsid w:val="5B56E772"/>
    <w:rsid w:val="5BBE5F9F"/>
    <w:rsid w:val="5BD462C2"/>
    <w:rsid w:val="5BD7D89C"/>
    <w:rsid w:val="5BE46209"/>
    <w:rsid w:val="5BED2730"/>
    <w:rsid w:val="5BFB01EC"/>
    <w:rsid w:val="5BFB3B5B"/>
    <w:rsid w:val="5BFF787D"/>
    <w:rsid w:val="5BFFCEB7"/>
    <w:rsid w:val="5CDF45C4"/>
    <w:rsid w:val="5CE187AD"/>
    <w:rsid w:val="5CE7D16B"/>
    <w:rsid w:val="5CF57D44"/>
    <w:rsid w:val="5D3F4883"/>
    <w:rsid w:val="5D7EA438"/>
    <w:rsid w:val="5D95B97D"/>
    <w:rsid w:val="5DB36200"/>
    <w:rsid w:val="5DCF13E5"/>
    <w:rsid w:val="5DD17D61"/>
    <w:rsid w:val="5DDA25FB"/>
    <w:rsid w:val="5DE5D75C"/>
    <w:rsid w:val="5DF92C72"/>
    <w:rsid w:val="5DFC0F90"/>
    <w:rsid w:val="5DFE052F"/>
    <w:rsid w:val="5DFFF206"/>
    <w:rsid w:val="5E056FE1"/>
    <w:rsid w:val="5E1F70DA"/>
    <w:rsid w:val="5E873FD6"/>
    <w:rsid w:val="5E9A6428"/>
    <w:rsid w:val="5E9AD603"/>
    <w:rsid w:val="5EAF66B8"/>
    <w:rsid w:val="5EAFF523"/>
    <w:rsid w:val="5EB9DDEF"/>
    <w:rsid w:val="5EC301F7"/>
    <w:rsid w:val="5EC82C43"/>
    <w:rsid w:val="5EDB8FB5"/>
    <w:rsid w:val="5EDF9F01"/>
    <w:rsid w:val="5EEDC9B6"/>
    <w:rsid w:val="5EF71C38"/>
    <w:rsid w:val="5EFA7CCD"/>
    <w:rsid w:val="5EFB8639"/>
    <w:rsid w:val="5EFD9DEA"/>
    <w:rsid w:val="5EFE6329"/>
    <w:rsid w:val="5F1F7BCF"/>
    <w:rsid w:val="5F2AC325"/>
    <w:rsid w:val="5F3EC03A"/>
    <w:rsid w:val="5F4A1858"/>
    <w:rsid w:val="5F7358D7"/>
    <w:rsid w:val="5F7EF974"/>
    <w:rsid w:val="5F9738B9"/>
    <w:rsid w:val="5F9B6A9A"/>
    <w:rsid w:val="5FAE23F0"/>
    <w:rsid w:val="5FB194F3"/>
    <w:rsid w:val="5FBE79D3"/>
    <w:rsid w:val="5FBF8205"/>
    <w:rsid w:val="5FBFB336"/>
    <w:rsid w:val="5FCC7854"/>
    <w:rsid w:val="5FCE660E"/>
    <w:rsid w:val="5FD34948"/>
    <w:rsid w:val="5FD65041"/>
    <w:rsid w:val="5FDF56DB"/>
    <w:rsid w:val="5FDF5B27"/>
    <w:rsid w:val="5FDF5CBA"/>
    <w:rsid w:val="5FDFEFD2"/>
    <w:rsid w:val="5FEDDC52"/>
    <w:rsid w:val="5FF33B43"/>
    <w:rsid w:val="5FF46B5E"/>
    <w:rsid w:val="5FF7013A"/>
    <w:rsid w:val="5FF7184D"/>
    <w:rsid w:val="5FF742CC"/>
    <w:rsid w:val="5FFA19E3"/>
    <w:rsid w:val="5FFB5D1B"/>
    <w:rsid w:val="5FFB7202"/>
    <w:rsid w:val="5FFB7750"/>
    <w:rsid w:val="5FFE639E"/>
    <w:rsid w:val="5FFEC7C2"/>
    <w:rsid w:val="5FFF155D"/>
    <w:rsid w:val="5FFFA28E"/>
    <w:rsid w:val="60FB0B6F"/>
    <w:rsid w:val="62D5A3C7"/>
    <w:rsid w:val="637F684E"/>
    <w:rsid w:val="63B1D817"/>
    <w:rsid w:val="63BFD95A"/>
    <w:rsid w:val="63E7E382"/>
    <w:rsid w:val="65E5569F"/>
    <w:rsid w:val="65EFA326"/>
    <w:rsid w:val="66D73B10"/>
    <w:rsid w:val="66DCD317"/>
    <w:rsid w:val="66FFFC13"/>
    <w:rsid w:val="673690EA"/>
    <w:rsid w:val="675D0C1D"/>
    <w:rsid w:val="67BFC51A"/>
    <w:rsid w:val="67CC717C"/>
    <w:rsid w:val="67DF2C93"/>
    <w:rsid w:val="67EA84F8"/>
    <w:rsid w:val="67F39D23"/>
    <w:rsid w:val="67F9B1D3"/>
    <w:rsid w:val="67FF4754"/>
    <w:rsid w:val="67FFFFCC"/>
    <w:rsid w:val="693E4AEA"/>
    <w:rsid w:val="69734237"/>
    <w:rsid w:val="69DF13B6"/>
    <w:rsid w:val="6A8C3C7D"/>
    <w:rsid w:val="6AB77DA8"/>
    <w:rsid w:val="6AE9C10A"/>
    <w:rsid w:val="6AEA5EDC"/>
    <w:rsid w:val="6AFF3F91"/>
    <w:rsid w:val="6B3F6934"/>
    <w:rsid w:val="6B5BD258"/>
    <w:rsid w:val="6B7C24CB"/>
    <w:rsid w:val="6BAD5891"/>
    <w:rsid w:val="6BBFDAF3"/>
    <w:rsid w:val="6BD346DA"/>
    <w:rsid w:val="6BD59A94"/>
    <w:rsid w:val="6BDFA61D"/>
    <w:rsid w:val="6BF79DA0"/>
    <w:rsid w:val="6BF7A651"/>
    <w:rsid w:val="6BFA299A"/>
    <w:rsid w:val="6BFB4345"/>
    <w:rsid w:val="6BFBFD96"/>
    <w:rsid w:val="6BFF340A"/>
    <w:rsid w:val="6C7EDF20"/>
    <w:rsid w:val="6CABC0F1"/>
    <w:rsid w:val="6CB26586"/>
    <w:rsid w:val="6CF341D8"/>
    <w:rsid w:val="6CFDEA51"/>
    <w:rsid w:val="6D1FDA9F"/>
    <w:rsid w:val="6D4BF62A"/>
    <w:rsid w:val="6D5A6241"/>
    <w:rsid w:val="6D7F9093"/>
    <w:rsid w:val="6D8E655C"/>
    <w:rsid w:val="6DBF1B50"/>
    <w:rsid w:val="6DC5684C"/>
    <w:rsid w:val="6DCF67B4"/>
    <w:rsid w:val="6DF29504"/>
    <w:rsid w:val="6DFF60C6"/>
    <w:rsid w:val="6DFF6155"/>
    <w:rsid w:val="6E7EF498"/>
    <w:rsid w:val="6E7FCB99"/>
    <w:rsid w:val="6EBF78E3"/>
    <w:rsid w:val="6ED3DF48"/>
    <w:rsid w:val="6ED99337"/>
    <w:rsid w:val="6EE229F1"/>
    <w:rsid w:val="6EEBC7B2"/>
    <w:rsid w:val="6EFB763F"/>
    <w:rsid w:val="6EFF49F6"/>
    <w:rsid w:val="6F1F55B0"/>
    <w:rsid w:val="6F25D23E"/>
    <w:rsid w:val="6F55C334"/>
    <w:rsid w:val="6F55CBCF"/>
    <w:rsid w:val="6F5F9F30"/>
    <w:rsid w:val="6F670135"/>
    <w:rsid w:val="6F7D9D22"/>
    <w:rsid w:val="6F7F0CBA"/>
    <w:rsid w:val="6F7F3054"/>
    <w:rsid w:val="6F8B6496"/>
    <w:rsid w:val="6F9B587F"/>
    <w:rsid w:val="6FB7D107"/>
    <w:rsid w:val="6FBB27F8"/>
    <w:rsid w:val="6FBD7874"/>
    <w:rsid w:val="6FBF77E7"/>
    <w:rsid w:val="6FBFBA52"/>
    <w:rsid w:val="6FBFBE26"/>
    <w:rsid w:val="6FBFC229"/>
    <w:rsid w:val="6FBFC976"/>
    <w:rsid w:val="6FCB7F5E"/>
    <w:rsid w:val="6FCF3F23"/>
    <w:rsid w:val="6FDEF844"/>
    <w:rsid w:val="6FE3AF18"/>
    <w:rsid w:val="6FE8BE27"/>
    <w:rsid w:val="6FEFD104"/>
    <w:rsid w:val="6FF1A5C9"/>
    <w:rsid w:val="6FF235C9"/>
    <w:rsid w:val="6FF6A60F"/>
    <w:rsid w:val="6FF6CA18"/>
    <w:rsid w:val="6FF715B9"/>
    <w:rsid w:val="6FF780C5"/>
    <w:rsid w:val="6FFED6E4"/>
    <w:rsid w:val="6FFF0A5F"/>
    <w:rsid w:val="6FFF328D"/>
    <w:rsid w:val="6FFF438D"/>
    <w:rsid w:val="6FFF723E"/>
    <w:rsid w:val="70BC55CB"/>
    <w:rsid w:val="70F1689F"/>
    <w:rsid w:val="70FA04FB"/>
    <w:rsid w:val="719F4088"/>
    <w:rsid w:val="71FD4D3C"/>
    <w:rsid w:val="71FFD071"/>
    <w:rsid w:val="72FBF00F"/>
    <w:rsid w:val="72FF6F21"/>
    <w:rsid w:val="73596917"/>
    <w:rsid w:val="73971B3C"/>
    <w:rsid w:val="73AD7AA7"/>
    <w:rsid w:val="73D3B2C4"/>
    <w:rsid w:val="73EFBC6F"/>
    <w:rsid w:val="73F968AD"/>
    <w:rsid w:val="73FC55F0"/>
    <w:rsid w:val="73FE4503"/>
    <w:rsid w:val="73FF0141"/>
    <w:rsid w:val="73FFD092"/>
    <w:rsid w:val="745D6FA0"/>
    <w:rsid w:val="745DE8E4"/>
    <w:rsid w:val="74B463DD"/>
    <w:rsid w:val="74F49EB4"/>
    <w:rsid w:val="74F93769"/>
    <w:rsid w:val="74FBA464"/>
    <w:rsid w:val="752B15CB"/>
    <w:rsid w:val="75620217"/>
    <w:rsid w:val="75735D57"/>
    <w:rsid w:val="75771305"/>
    <w:rsid w:val="757DE146"/>
    <w:rsid w:val="757F97A9"/>
    <w:rsid w:val="757FE20A"/>
    <w:rsid w:val="759C62A0"/>
    <w:rsid w:val="75D31920"/>
    <w:rsid w:val="75DCD960"/>
    <w:rsid w:val="75DF0A7F"/>
    <w:rsid w:val="75ED5D32"/>
    <w:rsid w:val="75F7FE5E"/>
    <w:rsid w:val="75FB4AD3"/>
    <w:rsid w:val="75FDFF74"/>
    <w:rsid w:val="76DF774B"/>
    <w:rsid w:val="76DFB5EF"/>
    <w:rsid w:val="76FF3856"/>
    <w:rsid w:val="7730111A"/>
    <w:rsid w:val="773F52FF"/>
    <w:rsid w:val="7747B6DF"/>
    <w:rsid w:val="775F007D"/>
    <w:rsid w:val="775FFEBC"/>
    <w:rsid w:val="77774F68"/>
    <w:rsid w:val="777BAC3F"/>
    <w:rsid w:val="777CFB2D"/>
    <w:rsid w:val="777FDCBC"/>
    <w:rsid w:val="779BBDD9"/>
    <w:rsid w:val="77B4431C"/>
    <w:rsid w:val="77B4B643"/>
    <w:rsid w:val="77BA7F28"/>
    <w:rsid w:val="77BD9C4A"/>
    <w:rsid w:val="77BE1D76"/>
    <w:rsid w:val="77BF172F"/>
    <w:rsid w:val="77D3DFF6"/>
    <w:rsid w:val="77D3FADF"/>
    <w:rsid w:val="77DB4A76"/>
    <w:rsid w:val="77DF455E"/>
    <w:rsid w:val="77DF4743"/>
    <w:rsid w:val="77DFEB89"/>
    <w:rsid w:val="77E6473F"/>
    <w:rsid w:val="77E92688"/>
    <w:rsid w:val="77EF77C5"/>
    <w:rsid w:val="77EFD9F8"/>
    <w:rsid w:val="77F9B08A"/>
    <w:rsid w:val="77FB5433"/>
    <w:rsid w:val="77FEA3DB"/>
    <w:rsid w:val="77FF7573"/>
    <w:rsid w:val="77FF7A9C"/>
    <w:rsid w:val="77FFA624"/>
    <w:rsid w:val="78BFC7F3"/>
    <w:rsid w:val="78EF5C2D"/>
    <w:rsid w:val="78F9996A"/>
    <w:rsid w:val="791B79FD"/>
    <w:rsid w:val="79ADFB26"/>
    <w:rsid w:val="79B78DFD"/>
    <w:rsid w:val="79BF55F6"/>
    <w:rsid w:val="79DDCE33"/>
    <w:rsid w:val="79F7A723"/>
    <w:rsid w:val="79FD6F5A"/>
    <w:rsid w:val="79FDC5FB"/>
    <w:rsid w:val="79FE09E4"/>
    <w:rsid w:val="79FEC02F"/>
    <w:rsid w:val="79FF0122"/>
    <w:rsid w:val="7A7A8DA9"/>
    <w:rsid w:val="7A7D69AA"/>
    <w:rsid w:val="7ABE110B"/>
    <w:rsid w:val="7ACD2F79"/>
    <w:rsid w:val="7AFC32FF"/>
    <w:rsid w:val="7AFDD08F"/>
    <w:rsid w:val="7B3785B2"/>
    <w:rsid w:val="7B3F7AD0"/>
    <w:rsid w:val="7B777AFE"/>
    <w:rsid w:val="7B7DBB91"/>
    <w:rsid w:val="7B7DFBC7"/>
    <w:rsid w:val="7B8E8584"/>
    <w:rsid w:val="7BAE297F"/>
    <w:rsid w:val="7BB7B23F"/>
    <w:rsid w:val="7BBA4D2D"/>
    <w:rsid w:val="7BBBB75C"/>
    <w:rsid w:val="7BBF1281"/>
    <w:rsid w:val="7BBFFF6A"/>
    <w:rsid w:val="7BEBCA6D"/>
    <w:rsid w:val="7BEC045B"/>
    <w:rsid w:val="7BF71EA6"/>
    <w:rsid w:val="7BF9BDEC"/>
    <w:rsid w:val="7BFB543A"/>
    <w:rsid w:val="7BFD1FAC"/>
    <w:rsid w:val="7BFDA6E4"/>
    <w:rsid w:val="7BFDD553"/>
    <w:rsid w:val="7BFDD742"/>
    <w:rsid w:val="7BFF2197"/>
    <w:rsid w:val="7BFF2B5F"/>
    <w:rsid w:val="7BFF30BD"/>
    <w:rsid w:val="7BFF8623"/>
    <w:rsid w:val="7BFF969E"/>
    <w:rsid w:val="7BFFADC2"/>
    <w:rsid w:val="7BFFD710"/>
    <w:rsid w:val="7C367B7A"/>
    <w:rsid w:val="7C4D54C1"/>
    <w:rsid w:val="7C6E605E"/>
    <w:rsid w:val="7C7BB08B"/>
    <w:rsid w:val="7C9BF405"/>
    <w:rsid w:val="7C9FA829"/>
    <w:rsid w:val="7CA3E458"/>
    <w:rsid w:val="7CAA7224"/>
    <w:rsid w:val="7CFCD571"/>
    <w:rsid w:val="7CFD3993"/>
    <w:rsid w:val="7CFFFCD6"/>
    <w:rsid w:val="7D225061"/>
    <w:rsid w:val="7D27D694"/>
    <w:rsid w:val="7D2FEAD2"/>
    <w:rsid w:val="7D4A3130"/>
    <w:rsid w:val="7D4F59D6"/>
    <w:rsid w:val="7D5C6203"/>
    <w:rsid w:val="7D63AE44"/>
    <w:rsid w:val="7D6D14D4"/>
    <w:rsid w:val="7D6FC547"/>
    <w:rsid w:val="7D77EE26"/>
    <w:rsid w:val="7D78DF28"/>
    <w:rsid w:val="7D792C8A"/>
    <w:rsid w:val="7D7E0E0D"/>
    <w:rsid w:val="7D7F04B6"/>
    <w:rsid w:val="7D7F516E"/>
    <w:rsid w:val="7D8F29C3"/>
    <w:rsid w:val="7D97E6FD"/>
    <w:rsid w:val="7D9FF196"/>
    <w:rsid w:val="7DAB962B"/>
    <w:rsid w:val="7DAF5EF8"/>
    <w:rsid w:val="7DCF2104"/>
    <w:rsid w:val="7DD4988C"/>
    <w:rsid w:val="7DD666F5"/>
    <w:rsid w:val="7DD7D0D9"/>
    <w:rsid w:val="7DDF34EC"/>
    <w:rsid w:val="7DE982BD"/>
    <w:rsid w:val="7DEEA84D"/>
    <w:rsid w:val="7DEF3060"/>
    <w:rsid w:val="7DEFC8D3"/>
    <w:rsid w:val="7DF55459"/>
    <w:rsid w:val="7DF75622"/>
    <w:rsid w:val="7DF77A66"/>
    <w:rsid w:val="7DF792C1"/>
    <w:rsid w:val="7DFA06A7"/>
    <w:rsid w:val="7DFD1B23"/>
    <w:rsid w:val="7DFD26B3"/>
    <w:rsid w:val="7DFF85F2"/>
    <w:rsid w:val="7DFF9265"/>
    <w:rsid w:val="7DFFABBD"/>
    <w:rsid w:val="7DFFDE4A"/>
    <w:rsid w:val="7E330C85"/>
    <w:rsid w:val="7E379DFF"/>
    <w:rsid w:val="7E37BB61"/>
    <w:rsid w:val="7E7377FB"/>
    <w:rsid w:val="7E74E815"/>
    <w:rsid w:val="7E7EB84F"/>
    <w:rsid w:val="7E7FAD44"/>
    <w:rsid w:val="7E8D2F3F"/>
    <w:rsid w:val="7EAB9F58"/>
    <w:rsid w:val="7EAE72DD"/>
    <w:rsid w:val="7EB34909"/>
    <w:rsid w:val="7EDBE12E"/>
    <w:rsid w:val="7EEB614E"/>
    <w:rsid w:val="7EEEAB41"/>
    <w:rsid w:val="7EEF169B"/>
    <w:rsid w:val="7EEF7E69"/>
    <w:rsid w:val="7EF39BC2"/>
    <w:rsid w:val="7EF67109"/>
    <w:rsid w:val="7EF78988"/>
    <w:rsid w:val="7EF7D6D6"/>
    <w:rsid w:val="7EF7DBAA"/>
    <w:rsid w:val="7EFA9754"/>
    <w:rsid w:val="7EFAF087"/>
    <w:rsid w:val="7EFB9887"/>
    <w:rsid w:val="7EFBD510"/>
    <w:rsid w:val="7EFD49D7"/>
    <w:rsid w:val="7EFDA2A6"/>
    <w:rsid w:val="7EFDC1AD"/>
    <w:rsid w:val="7EFE44D2"/>
    <w:rsid w:val="7F2EE625"/>
    <w:rsid w:val="7F5DC8CB"/>
    <w:rsid w:val="7F5E1549"/>
    <w:rsid w:val="7F6B89BD"/>
    <w:rsid w:val="7F6D2BF3"/>
    <w:rsid w:val="7F73A8E4"/>
    <w:rsid w:val="7F7751CB"/>
    <w:rsid w:val="7F79FC11"/>
    <w:rsid w:val="7F7C95D8"/>
    <w:rsid w:val="7F7D58EC"/>
    <w:rsid w:val="7F7E052E"/>
    <w:rsid w:val="7F7E2D72"/>
    <w:rsid w:val="7F7E4544"/>
    <w:rsid w:val="7F7E55FC"/>
    <w:rsid w:val="7F7F19C5"/>
    <w:rsid w:val="7F7F6E70"/>
    <w:rsid w:val="7F7FEA4F"/>
    <w:rsid w:val="7F7FF9F3"/>
    <w:rsid w:val="7F8851DB"/>
    <w:rsid w:val="7F95E966"/>
    <w:rsid w:val="7F9BE0C6"/>
    <w:rsid w:val="7FA3F093"/>
    <w:rsid w:val="7FADC815"/>
    <w:rsid w:val="7FAE0162"/>
    <w:rsid w:val="7FB6A19E"/>
    <w:rsid w:val="7FB7256B"/>
    <w:rsid w:val="7FB93BDD"/>
    <w:rsid w:val="7FBB4ABF"/>
    <w:rsid w:val="7FBB67D2"/>
    <w:rsid w:val="7FBCC0F1"/>
    <w:rsid w:val="7FBD469A"/>
    <w:rsid w:val="7FBD60A9"/>
    <w:rsid w:val="7FBED27D"/>
    <w:rsid w:val="7FBF034F"/>
    <w:rsid w:val="7FBF1A98"/>
    <w:rsid w:val="7FBF34F3"/>
    <w:rsid w:val="7FBF3501"/>
    <w:rsid w:val="7FBF5D69"/>
    <w:rsid w:val="7FBF8697"/>
    <w:rsid w:val="7FCF4DF3"/>
    <w:rsid w:val="7FD23CAD"/>
    <w:rsid w:val="7FD39655"/>
    <w:rsid w:val="7FD3F9C6"/>
    <w:rsid w:val="7FD5DF07"/>
    <w:rsid w:val="7FD668EE"/>
    <w:rsid w:val="7FD7B5BF"/>
    <w:rsid w:val="7FD7E8B5"/>
    <w:rsid w:val="7FDB3CF1"/>
    <w:rsid w:val="7FDDAC14"/>
    <w:rsid w:val="7FDEFF73"/>
    <w:rsid w:val="7FDF23D9"/>
    <w:rsid w:val="7FDF68F6"/>
    <w:rsid w:val="7FDF90E2"/>
    <w:rsid w:val="7FDF93E6"/>
    <w:rsid w:val="7FDFB3B3"/>
    <w:rsid w:val="7FE3A38C"/>
    <w:rsid w:val="7FE52B73"/>
    <w:rsid w:val="7FE6256C"/>
    <w:rsid w:val="7FE7CA65"/>
    <w:rsid w:val="7FEB353C"/>
    <w:rsid w:val="7FEB67EF"/>
    <w:rsid w:val="7FEB9352"/>
    <w:rsid w:val="7FEBF95A"/>
    <w:rsid w:val="7FEFB1E6"/>
    <w:rsid w:val="7FF02E81"/>
    <w:rsid w:val="7FF2F5B7"/>
    <w:rsid w:val="7FF76AB9"/>
    <w:rsid w:val="7FFB10E6"/>
    <w:rsid w:val="7FFB35E6"/>
    <w:rsid w:val="7FFBE72D"/>
    <w:rsid w:val="7FFC21C9"/>
    <w:rsid w:val="7FFD5A58"/>
    <w:rsid w:val="7FFDF729"/>
    <w:rsid w:val="7FFE0492"/>
    <w:rsid w:val="7FFE82FF"/>
    <w:rsid w:val="7FFEA53C"/>
    <w:rsid w:val="7FFF1E0C"/>
    <w:rsid w:val="7FFF2151"/>
    <w:rsid w:val="7FFF311E"/>
    <w:rsid w:val="7FFF3C74"/>
    <w:rsid w:val="7FFF404D"/>
    <w:rsid w:val="7FFF5218"/>
    <w:rsid w:val="7FFF575C"/>
    <w:rsid w:val="7FFF8116"/>
    <w:rsid w:val="7FFF91C4"/>
    <w:rsid w:val="7FFFC4BE"/>
    <w:rsid w:val="7FFFEB1C"/>
    <w:rsid w:val="85CE0FAD"/>
    <w:rsid w:val="85D73EFB"/>
    <w:rsid w:val="865FBE2D"/>
    <w:rsid w:val="86F0C7D9"/>
    <w:rsid w:val="873F2367"/>
    <w:rsid w:val="8AD776BC"/>
    <w:rsid w:val="8B7B9D8D"/>
    <w:rsid w:val="8BDA90C0"/>
    <w:rsid w:val="8BDF5BFA"/>
    <w:rsid w:val="8BFB0303"/>
    <w:rsid w:val="8DDB6D43"/>
    <w:rsid w:val="8FFED41C"/>
    <w:rsid w:val="8FFF475E"/>
    <w:rsid w:val="92175B4E"/>
    <w:rsid w:val="934D4281"/>
    <w:rsid w:val="93A252D3"/>
    <w:rsid w:val="95E3063A"/>
    <w:rsid w:val="95EF6E9D"/>
    <w:rsid w:val="95FA8C2D"/>
    <w:rsid w:val="95FD5440"/>
    <w:rsid w:val="969BE725"/>
    <w:rsid w:val="972F0F93"/>
    <w:rsid w:val="97EF2E2B"/>
    <w:rsid w:val="97FD8C19"/>
    <w:rsid w:val="97FE9C00"/>
    <w:rsid w:val="97FEAAEC"/>
    <w:rsid w:val="981F7AC3"/>
    <w:rsid w:val="99F3055B"/>
    <w:rsid w:val="9AFD9561"/>
    <w:rsid w:val="9B7FE5D4"/>
    <w:rsid w:val="9BDD9DCA"/>
    <w:rsid w:val="9BFF02CE"/>
    <w:rsid w:val="9D4B5CFF"/>
    <w:rsid w:val="9DDF320E"/>
    <w:rsid w:val="9DFF16ED"/>
    <w:rsid w:val="9E7FC748"/>
    <w:rsid w:val="9EEFB102"/>
    <w:rsid w:val="9EFF8018"/>
    <w:rsid w:val="9F08B1E2"/>
    <w:rsid w:val="9F3E3C01"/>
    <w:rsid w:val="9F5DEBC3"/>
    <w:rsid w:val="9F6FDEA3"/>
    <w:rsid w:val="9F6FF983"/>
    <w:rsid w:val="9F9F5459"/>
    <w:rsid w:val="9FB642B7"/>
    <w:rsid w:val="9FBC57DA"/>
    <w:rsid w:val="9FBD5FBF"/>
    <w:rsid w:val="9FBD83E3"/>
    <w:rsid w:val="9FBF5CEA"/>
    <w:rsid w:val="9FFE765C"/>
    <w:rsid w:val="A3AA5ED7"/>
    <w:rsid w:val="A3BF9E57"/>
    <w:rsid w:val="A3EB8011"/>
    <w:rsid w:val="A5D6087B"/>
    <w:rsid w:val="A5FB261F"/>
    <w:rsid w:val="A79700EB"/>
    <w:rsid w:val="A7FF9BA8"/>
    <w:rsid w:val="A86FA9E0"/>
    <w:rsid w:val="A97E40F3"/>
    <w:rsid w:val="A97F19B0"/>
    <w:rsid w:val="A99F713B"/>
    <w:rsid w:val="ABF7A777"/>
    <w:rsid w:val="ABFA4CDB"/>
    <w:rsid w:val="ABFD4CAB"/>
    <w:rsid w:val="ACDF0AED"/>
    <w:rsid w:val="AD2F25BC"/>
    <w:rsid w:val="AD5F5AE9"/>
    <w:rsid w:val="ADB78F77"/>
    <w:rsid w:val="ADE6DDB1"/>
    <w:rsid w:val="ADE7F41D"/>
    <w:rsid w:val="ADFF7C6E"/>
    <w:rsid w:val="AEFAFC16"/>
    <w:rsid w:val="AEFFB61A"/>
    <w:rsid w:val="AF2E495D"/>
    <w:rsid w:val="AF6F55F2"/>
    <w:rsid w:val="AF7B45E1"/>
    <w:rsid w:val="AF9DEBA3"/>
    <w:rsid w:val="AFBFE517"/>
    <w:rsid w:val="AFD9B2F1"/>
    <w:rsid w:val="AFEF065B"/>
    <w:rsid w:val="AFF5235F"/>
    <w:rsid w:val="AFFF25BB"/>
    <w:rsid w:val="AFFFA9C6"/>
    <w:rsid w:val="AFFFC2C7"/>
    <w:rsid w:val="B27C07B9"/>
    <w:rsid w:val="B3875675"/>
    <w:rsid w:val="B3EB0363"/>
    <w:rsid w:val="B3F28463"/>
    <w:rsid w:val="B59FE758"/>
    <w:rsid w:val="B5D43AF1"/>
    <w:rsid w:val="B5DDA071"/>
    <w:rsid w:val="B5F6226C"/>
    <w:rsid w:val="B5FD4791"/>
    <w:rsid w:val="B5FD8EB4"/>
    <w:rsid w:val="B5FEA876"/>
    <w:rsid w:val="B67F03BC"/>
    <w:rsid w:val="B692C68D"/>
    <w:rsid w:val="B6FE2337"/>
    <w:rsid w:val="B6FEA200"/>
    <w:rsid w:val="B737C469"/>
    <w:rsid w:val="B75BEF92"/>
    <w:rsid w:val="B7A7CB88"/>
    <w:rsid w:val="B7BD6E44"/>
    <w:rsid w:val="B7BF043E"/>
    <w:rsid w:val="B7BF9493"/>
    <w:rsid w:val="B7D7BF08"/>
    <w:rsid w:val="B7DEE872"/>
    <w:rsid w:val="B7DF5CA8"/>
    <w:rsid w:val="B7F7BDA6"/>
    <w:rsid w:val="B7FDC8C7"/>
    <w:rsid w:val="B7FF0A8A"/>
    <w:rsid w:val="B99B32C4"/>
    <w:rsid w:val="B99FC934"/>
    <w:rsid w:val="BA75B7BC"/>
    <w:rsid w:val="BA7B23C6"/>
    <w:rsid w:val="BAAF2D5D"/>
    <w:rsid w:val="BAFEFB5B"/>
    <w:rsid w:val="BAFF1B32"/>
    <w:rsid w:val="BB5C0455"/>
    <w:rsid w:val="BB7FB8E2"/>
    <w:rsid w:val="BBAE2F1E"/>
    <w:rsid w:val="BBB55BCC"/>
    <w:rsid w:val="BBBB1FA4"/>
    <w:rsid w:val="BBEF91C0"/>
    <w:rsid w:val="BBF71B3C"/>
    <w:rsid w:val="BBF9D700"/>
    <w:rsid w:val="BBFBE364"/>
    <w:rsid w:val="BBFF1011"/>
    <w:rsid w:val="BBFF2D9A"/>
    <w:rsid w:val="BC6F18C2"/>
    <w:rsid w:val="BCC82BB9"/>
    <w:rsid w:val="BCE0D90B"/>
    <w:rsid w:val="BD2FCAC5"/>
    <w:rsid w:val="BD5FB97B"/>
    <w:rsid w:val="BD87D006"/>
    <w:rsid w:val="BDAA86B7"/>
    <w:rsid w:val="BDABF07A"/>
    <w:rsid w:val="BDD7B3ED"/>
    <w:rsid w:val="BDECBA7F"/>
    <w:rsid w:val="BDEF4AFF"/>
    <w:rsid w:val="BDFC647E"/>
    <w:rsid w:val="BDFD0E7E"/>
    <w:rsid w:val="BDFFABDE"/>
    <w:rsid w:val="BE0D8D6E"/>
    <w:rsid w:val="BE3FFF85"/>
    <w:rsid w:val="BE57F08E"/>
    <w:rsid w:val="BE9EC7D9"/>
    <w:rsid w:val="BEB72C97"/>
    <w:rsid w:val="BEC7B079"/>
    <w:rsid w:val="BECFE366"/>
    <w:rsid w:val="BED59350"/>
    <w:rsid w:val="BED7D745"/>
    <w:rsid w:val="BEE64106"/>
    <w:rsid w:val="BEF72417"/>
    <w:rsid w:val="BEFF0CBB"/>
    <w:rsid w:val="BF57CF60"/>
    <w:rsid w:val="BF6FC419"/>
    <w:rsid w:val="BF737A8B"/>
    <w:rsid w:val="BF794B44"/>
    <w:rsid w:val="BF7E62EC"/>
    <w:rsid w:val="BFAD6EA2"/>
    <w:rsid w:val="BFB7D763"/>
    <w:rsid w:val="BFD7365A"/>
    <w:rsid w:val="BFE5CDCD"/>
    <w:rsid w:val="BFEB24D2"/>
    <w:rsid w:val="BFF4D273"/>
    <w:rsid w:val="BFF68B35"/>
    <w:rsid w:val="BFF76B1D"/>
    <w:rsid w:val="BFF981B4"/>
    <w:rsid w:val="BFFDB010"/>
    <w:rsid w:val="BFFDFB28"/>
    <w:rsid w:val="BFFF0280"/>
    <w:rsid w:val="BFFF1596"/>
    <w:rsid w:val="BFFF1F48"/>
    <w:rsid w:val="BFFFC42F"/>
    <w:rsid w:val="C1B1A33C"/>
    <w:rsid w:val="C3771F1C"/>
    <w:rsid w:val="C5B7760A"/>
    <w:rsid w:val="C6B6D010"/>
    <w:rsid w:val="C7AFA2E3"/>
    <w:rsid w:val="C7CF8E00"/>
    <w:rsid w:val="C7DC1085"/>
    <w:rsid w:val="C7F50492"/>
    <w:rsid w:val="C7FF6A38"/>
    <w:rsid w:val="C9EFD805"/>
    <w:rsid w:val="C9FBED3F"/>
    <w:rsid w:val="CBBF2382"/>
    <w:rsid w:val="CD3EDDE9"/>
    <w:rsid w:val="CD7F2706"/>
    <w:rsid w:val="CDBD6900"/>
    <w:rsid w:val="CDD33806"/>
    <w:rsid w:val="CEDFDC49"/>
    <w:rsid w:val="CEF703BD"/>
    <w:rsid w:val="CF45D836"/>
    <w:rsid w:val="CF5547EB"/>
    <w:rsid w:val="CF644A6C"/>
    <w:rsid w:val="CF95F9D9"/>
    <w:rsid w:val="CFABD399"/>
    <w:rsid w:val="CFBD3F67"/>
    <w:rsid w:val="CFEB09B6"/>
    <w:rsid w:val="CFEFFB20"/>
    <w:rsid w:val="CFFD28F0"/>
    <w:rsid w:val="CFFEB5E4"/>
    <w:rsid w:val="CFFEF15D"/>
    <w:rsid w:val="CFFF7263"/>
    <w:rsid w:val="D1B58036"/>
    <w:rsid w:val="D1E58CA9"/>
    <w:rsid w:val="D3C83FDD"/>
    <w:rsid w:val="D3FBE992"/>
    <w:rsid w:val="D3FF8F48"/>
    <w:rsid w:val="D4DF607E"/>
    <w:rsid w:val="D56B0C2C"/>
    <w:rsid w:val="D5CED10A"/>
    <w:rsid w:val="D5E5257C"/>
    <w:rsid w:val="D6AF12C0"/>
    <w:rsid w:val="D6F35581"/>
    <w:rsid w:val="D7593665"/>
    <w:rsid w:val="D77B8426"/>
    <w:rsid w:val="D7ABC6A6"/>
    <w:rsid w:val="D7AEAECD"/>
    <w:rsid w:val="D7BF645B"/>
    <w:rsid w:val="D7C3C782"/>
    <w:rsid w:val="D7DECAD1"/>
    <w:rsid w:val="D7EF7249"/>
    <w:rsid w:val="D7F68932"/>
    <w:rsid w:val="D7F7ACF6"/>
    <w:rsid w:val="D7FA314C"/>
    <w:rsid w:val="D7FF90AB"/>
    <w:rsid w:val="D89F3861"/>
    <w:rsid w:val="D95F8D44"/>
    <w:rsid w:val="D9627A95"/>
    <w:rsid w:val="D9F94727"/>
    <w:rsid w:val="DABFF8BE"/>
    <w:rsid w:val="DAEF8E57"/>
    <w:rsid w:val="DAF6CF12"/>
    <w:rsid w:val="DB76A177"/>
    <w:rsid w:val="DB7B4EE8"/>
    <w:rsid w:val="DB7D15C6"/>
    <w:rsid w:val="DB8E8B8D"/>
    <w:rsid w:val="DBBF3ECA"/>
    <w:rsid w:val="DBD7AE5F"/>
    <w:rsid w:val="DBF1DC69"/>
    <w:rsid w:val="DBFE60CB"/>
    <w:rsid w:val="DBFF4BBC"/>
    <w:rsid w:val="DCDFD781"/>
    <w:rsid w:val="DCFF9945"/>
    <w:rsid w:val="DD48BCFE"/>
    <w:rsid w:val="DD5F88C6"/>
    <w:rsid w:val="DD9D8AE4"/>
    <w:rsid w:val="DDD7E11D"/>
    <w:rsid w:val="DDF722BB"/>
    <w:rsid w:val="DDF7C85D"/>
    <w:rsid w:val="DDFD965F"/>
    <w:rsid w:val="DDFF33F5"/>
    <w:rsid w:val="DDFF4640"/>
    <w:rsid w:val="DDFF906F"/>
    <w:rsid w:val="DE57AB76"/>
    <w:rsid w:val="DE6A0588"/>
    <w:rsid w:val="DEEF6B60"/>
    <w:rsid w:val="DEF7D5BD"/>
    <w:rsid w:val="DEFDBC11"/>
    <w:rsid w:val="DEFDD0E9"/>
    <w:rsid w:val="DEFF5412"/>
    <w:rsid w:val="DF3DF63C"/>
    <w:rsid w:val="DF672794"/>
    <w:rsid w:val="DF79435A"/>
    <w:rsid w:val="DF79D382"/>
    <w:rsid w:val="DF7AC955"/>
    <w:rsid w:val="DF7B2874"/>
    <w:rsid w:val="DF7BD05B"/>
    <w:rsid w:val="DF7C96A8"/>
    <w:rsid w:val="DF7F9AD3"/>
    <w:rsid w:val="DFBDA356"/>
    <w:rsid w:val="DFBEDD45"/>
    <w:rsid w:val="DFBFD3A5"/>
    <w:rsid w:val="DFBFFB0E"/>
    <w:rsid w:val="DFC2E860"/>
    <w:rsid w:val="DFCA0220"/>
    <w:rsid w:val="DFCF6DD6"/>
    <w:rsid w:val="DFD95C83"/>
    <w:rsid w:val="DFDD90A8"/>
    <w:rsid w:val="DFDF88D2"/>
    <w:rsid w:val="DFE5E5B6"/>
    <w:rsid w:val="DFEB4ADC"/>
    <w:rsid w:val="DFEC6070"/>
    <w:rsid w:val="DFED7C80"/>
    <w:rsid w:val="DFEE6ED2"/>
    <w:rsid w:val="DFEF32E5"/>
    <w:rsid w:val="DFEFD79F"/>
    <w:rsid w:val="DFF37E6B"/>
    <w:rsid w:val="DFF5585E"/>
    <w:rsid w:val="DFF7E9E8"/>
    <w:rsid w:val="DFFBCF70"/>
    <w:rsid w:val="DFFC4CB6"/>
    <w:rsid w:val="DFFD2019"/>
    <w:rsid w:val="DFFE89D0"/>
    <w:rsid w:val="DFFEAF32"/>
    <w:rsid w:val="DFFF0D18"/>
    <w:rsid w:val="DFFFAC97"/>
    <w:rsid w:val="DFFFCD55"/>
    <w:rsid w:val="E1A7D65F"/>
    <w:rsid w:val="E1BDE100"/>
    <w:rsid w:val="E1F77B95"/>
    <w:rsid w:val="E2CF36BB"/>
    <w:rsid w:val="E34FD4A1"/>
    <w:rsid w:val="E3F75459"/>
    <w:rsid w:val="E3FF5AC7"/>
    <w:rsid w:val="E4E11997"/>
    <w:rsid w:val="E577A24C"/>
    <w:rsid w:val="E5C7891D"/>
    <w:rsid w:val="E5FF9854"/>
    <w:rsid w:val="E6DE5C79"/>
    <w:rsid w:val="E6FFFDDE"/>
    <w:rsid w:val="E75F2955"/>
    <w:rsid w:val="E76D7C27"/>
    <w:rsid w:val="E76FB455"/>
    <w:rsid w:val="E795BB94"/>
    <w:rsid w:val="E7AD05CC"/>
    <w:rsid w:val="E7BE96C6"/>
    <w:rsid w:val="E7BFC320"/>
    <w:rsid w:val="E7DF8BD2"/>
    <w:rsid w:val="E7FB7BF3"/>
    <w:rsid w:val="E7FB96EA"/>
    <w:rsid w:val="E7FDF5DB"/>
    <w:rsid w:val="E7FFD10D"/>
    <w:rsid w:val="E8EF849A"/>
    <w:rsid w:val="E9F71EFB"/>
    <w:rsid w:val="EAB233C8"/>
    <w:rsid w:val="EB27E716"/>
    <w:rsid w:val="EB76C414"/>
    <w:rsid w:val="EBD30561"/>
    <w:rsid w:val="EBDF5C87"/>
    <w:rsid w:val="EBDF6901"/>
    <w:rsid w:val="EBE696DC"/>
    <w:rsid w:val="EBF3DE45"/>
    <w:rsid w:val="EBFAA2F4"/>
    <w:rsid w:val="EBFF870D"/>
    <w:rsid w:val="ECAE8611"/>
    <w:rsid w:val="ECFFE684"/>
    <w:rsid w:val="ED4F899A"/>
    <w:rsid w:val="ED7DDAC2"/>
    <w:rsid w:val="EDB76866"/>
    <w:rsid w:val="EDB9D406"/>
    <w:rsid w:val="EDBF8742"/>
    <w:rsid w:val="EDDA3787"/>
    <w:rsid w:val="EDDFED3D"/>
    <w:rsid w:val="EDEF8BF8"/>
    <w:rsid w:val="EDF04BB7"/>
    <w:rsid w:val="EDF9D1FF"/>
    <w:rsid w:val="EDFB76DB"/>
    <w:rsid w:val="EDFF7201"/>
    <w:rsid w:val="EE3DECEC"/>
    <w:rsid w:val="EE7BC30B"/>
    <w:rsid w:val="EE92E067"/>
    <w:rsid w:val="EE9FB378"/>
    <w:rsid w:val="EEAB4FA3"/>
    <w:rsid w:val="EEDE2A74"/>
    <w:rsid w:val="EEDF6522"/>
    <w:rsid w:val="EEF9D004"/>
    <w:rsid w:val="EF0D843C"/>
    <w:rsid w:val="EF59C1EC"/>
    <w:rsid w:val="EF862730"/>
    <w:rsid w:val="EF962E24"/>
    <w:rsid w:val="EF967A50"/>
    <w:rsid w:val="EFA37C9B"/>
    <w:rsid w:val="EFBB0197"/>
    <w:rsid w:val="EFBFD4E5"/>
    <w:rsid w:val="EFCACBF3"/>
    <w:rsid w:val="EFCCE658"/>
    <w:rsid w:val="EFCFB10B"/>
    <w:rsid w:val="EFDD1548"/>
    <w:rsid w:val="EFEBB39F"/>
    <w:rsid w:val="EFF30A8E"/>
    <w:rsid w:val="EFF408AB"/>
    <w:rsid w:val="EFF62DCB"/>
    <w:rsid w:val="EFF71D82"/>
    <w:rsid w:val="EFF74E3C"/>
    <w:rsid w:val="EFFA2196"/>
    <w:rsid w:val="EFFA97F4"/>
    <w:rsid w:val="EFFD102E"/>
    <w:rsid w:val="EFFDF793"/>
    <w:rsid w:val="EFFF5243"/>
    <w:rsid w:val="EFFF6929"/>
    <w:rsid w:val="EFFF7CA1"/>
    <w:rsid w:val="EFFFC4A4"/>
    <w:rsid w:val="F05B946E"/>
    <w:rsid w:val="F0BB8632"/>
    <w:rsid w:val="F0F971CA"/>
    <w:rsid w:val="F0FD8AB7"/>
    <w:rsid w:val="F1541D26"/>
    <w:rsid w:val="F1D904C5"/>
    <w:rsid w:val="F1DE2695"/>
    <w:rsid w:val="F1FCE803"/>
    <w:rsid w:val="F1FF7E83"/>
    <w:rsid w:val="F2F5CE4E"/>
    <w:rsid w:val="F36FE6C7"/>
    <w:rsid w:val="F377FCA8"/>
    <w:rsid w:val="F38D895D"/>
    <w:rsid w:val="F3CD6943"/>
    <w:rsid w:val="F3F6FA64"/>
    <w:rsid w:val="F3FD9459"/>
    <w:rsid w:val="F3FE28A7"/>
    <w:rsid w:val="F3FF7289"/>
    <w:rsid w:val="F3FFBFA8"/>
    <w:rsid w:val="F4F84F8D"/>
    <w:rsid w:val="F55F640A"/>
    <w:rsid w:val="F5D7A3F1"/>
    <w:rsid w:val="F5D9AA8A"/>
    <w:rsid w:val="F5DBC70F"/>
    <w:rsid w:val="F5E98587"/>
    <w:rsid w:val="F5EB7276"/>
    <w:rsid w:val="F5FF6A89"/>
    <w:rsid w:val="F62B711E"/>
    <w:rsid w:val="F69DD793"/>
    <w:rsid w:val="F6B77D70"/>
    <w:rsid w:val="F6B7B852"/>
    <w:rsid w:val="F6CC8647"/>
    <w:rsid w:val="F6DFB30D"/>
    <w:rsid w:val="F6F2E63C"/>
    <w:rsid w:val="F6F3C082"/>
    <w:rsid w:val="F6FA01FB"/>
    <w:rsid w:val="F73BA444"/>
    <w:rsid w:val="F7550AC8"/>
    <w:rsid w:val="F767B807"/>
    <w:rsid w:val="F76F43E3"/>
    <w:rsid w:val="F7782B02"/>
    <w:rsid w:val="F77B133D"/>
    <w:rsid w:val="F77E5F01"/>
    <w:rsid w:val="F77F5181"/>
    <w:rsid w:val="F7AB7F79"/>
    <w:rsid w:val="F7AFF5B2"/>
    <w:rsid w:val="F7B58A34"/>
    <w:rsid w:val="F7BF7615"/>
    <w:rsid w:val="F7DBDAC8"/>
    <w:rsid w:val="F7DE64FA"/>
    <w:rsid w:val="F7DF4304"/>
    <w:rsid w:val="F7DFF56A"/>
    <w:rsid w:val="F7EBF6FC"/>
    <w:rsid w:val="F7EF0AAC"/>
    <w:rsid w:val="F7EFA8D4"/>
    <w:rsid w:val="F7EFBA9A"/>
    <w:rsid w:val="F7F51FBE"/>
    <w:rsid w:val="F7F72A62"/>
    <w:rsid w:val="F7F810FB"/>
    <w:rsid w:val="F7FB125F"/>
    <w:rsid w:val="F7FB717B"/>
    <w:rsid w:val="F7FBB0B2"/>
    <w:rsid w:val="F7FD55A2"/>
    <w:rsid w:val="F7FD6E95"/>
    <w:rsid w:val="F7FDE13A"/>
    <w:rsid w:val="F7FF1E0A"/>
    <w:rsid w:val="F7FF78E7"/>
    <w:rsid w:val="F7FF9601"/>
    <w:rsid w:val="F7FFC5AA"/>
    <w:rsid w:val="F855390C"/>
    <w:rsid w:val="F87B4B51"/>
    <w:rsid w:val="F89E9012"/>
    <w:rsid w:val="F8F6AF1B"/>
    <w:rsid w:val="F95A9647"/>
    <w:rsid w:val="F96FCDF8"/>
    <w:rsid w:val="F9787045"/>
    <w:rsid w:val="F97F79C3"/>
    <w:rsid w:val="F9CF8CB2"/>
    <w:rsid w:val="F9DFEE0C"/>
    <w:rsid w:val="F9EE6EFC"/>
    <w:rsid w:val="F9FEF181"/>
    <w:rsid w:val="F9FF6174"/>
    <w:rsid w:val="F9FF801D"/>
    <w:rsid w:val="F9FF9E89"/>
    <w:rsid w:val="FA3785AC"/>
    <w:rsid w:val="FA5DA317"/>
    <w:rsid w:val="FADE1B6A"/>
    <w:rsid w:val="FAE867D0"/>
    <w:rsid w:val="FAEFCB67"/>
    <w:rsid w:val="FAF41D82"/>
    <w:rsid w:val="FAFCEE64"/>
    <w:rsid w:val="FAFF07AD"/>
    <w:rsid w:val="FAFF435D"/>
    <w:rsid w:val="FAFFC5D8"/>
    <w:rsid w:val="FAFFF958"/>
    <w:rsid w:val="FB236683"/>
    <w:rsid w:val="FB2D1379"/>
    <w:rsid w:val="FB37F58A"/>
    <w:rsid w:val="FB3BD7B7"/>
    <w:rsid w:val="FB3FC973"/>
    <w:rsid w:val="FB3FF441"/>
    <w:rsid w:val="FB6E079A"/>
    <w:rsid w:val="FB77D1F2"/>
    <w:rsid w:val="FB7B491B"/>
    <w:rsid w:val="FB7B7CCE"/>
    <w:rsid w:val="FB7E255A"/>
    <w:rsid w:val="FB7F16E9"/>
    <w:rsid w:val="FB7FABD6"/>
    <w:rsid w:val="FB7FBF61"/>
    <w:rsid w:val="FB8DF33E"/>
    <w:rsid w:val="FB9008F8"/>
    <w:rsid w:val="FB9BFD4A"/>
    <w:rsid w:val="FB9FB86D"/>
    <w:rsid w:val="FBBB35F2"/>
    <w:rsid w:val="FBC644CE"/>
    <w:rsid w:val="FBCB402E"/>
    <w:rsid w:val="FBD79DC1"/>
    <w:rsid w:val="FBD94322"/>
    <w:rsid w:val="FBDAB9C1"/>
    <w:rsid w:val="FBDB141C"/>
    <w:rsid w:val="FBE51028"/>
    <w:rsid w:val="FBE6F4DB"/>
    <w:rsid w:val="FBE7C5B9"/>
    <w:rsid w:val="FBEBD728"/>
    <w:rsid w:val="FBEFB001"/>
    <w:rsid w:val="FBF26042"/>
    <w:rsid w:val="FBF63725"/>
    <w:rsid w:val="FBF6599A"/>
    <w:rsid w:val="FBF705D2"/>
    <w:rsid w:val="FBFBADAC"/>
    <w:rsid w:val="FBFBF63B"/>
    <w:rsid w:val="FBFE3876"/>
    <w:rsid w:val="FBFF1640"/>
    <w:rsid w:val="FBFF3225"/>
    <w:rsid w:val="FBFF7A47"/>
    <w:rsid w:val="FBFFAF22"/>
    <w:rsid w:val="FBFFC8A7"/>
    <w:rsid w:val="FC31F996"/>
    <w:rsid w:val="FC3F6FA9"/>
    <w:rsid w:val="FC7BD166"/>
    <w:rsid w:val="FC7F95DF"/>
    <w:rsid w:val="FCCDE87B"/>
    <w:rsid w:val="FCCFBAAA"/>
    <w:rsid w:val="FCF6343A"/>
    <w:rsid w:val="FCFAF667"/>
    <w:rsid w:val="FCFB9985"/>
    <w:rsid w:val="FCFF97DE"/>
    <w:rsid w:val="FCFFB7C8"/>
    <w:rsid w:val="FD273C91"/>
    <w:rsid w:val="FD338641"/>
    <w:rsid w:val="FD3F6908"/>
    <w:rsid w:val="FD5CF975"/>
    <w:rsid w:val="FD5F0134"/>
    <w:rsid w:val="FD6D8828"/>
    <w:rsid w:val="FD77F95D"/>
    <w:rsid w:val="FD7F471A"/>
    <w:rsid w:val="FDABA8D4"/>
    <w:rsid w:val="FDB64EF7"/>
    <w:rsid w:val="FDB9971C"/>
    <w:rsid w:val="FDBDDACD"/>
    <w:rsid w:val="FDCD3AE4"/>
    <w:rsid w:val="FDD92075"/>
    <w:rsid w:val="FDDF6B97"/>
    <w:rsid w:val="FDE3333C"/>
    <w:rsid w:val="FDEA2A97"/>
    <w:rsid w:val="FDEB3856"/>
    <w:rsid w:val="FDEDCDF0"/>
    <w:rsid w:val="FDF5602B"/>
    <w:rsid w:val="FDF7063E"/>
    <w:rsid w:val="FDF73305"/>
    <w:rsid w:val="FDF7520C"/>
    <w:rsid w:val="FDF9710C"/>
    <w:rsid w:val="FDF9D374"/>
    <w:rsid w:val="FDFC9805"/>
    <w:rsid w:val="FDFD93E2"/>
    <w:rsid w:val="FDFDBD3D"/>
    <w:rsid w:val="FDFDC86C"/>
    <w:rsid w:val="FDFF0DC7"/>
    <w:rsid w:val="FDFF2A46"/>
    <w:rsid w:val="FDFF3357"/>
    <w:rsid w:val="FDFF38F8"/>
    <w:rsid w:val="FDFFF8E1"/>
    <w:rsid w:val="FE133D70"/>
    <w:rsid w:val="FE3B2035"/>
    <w:rsid w:val="FE3D248D"/>
    <w:rsid w:val="FE590F43"/>
    <w:rsid w:val="FE734873"/>
    <w:rsid w:val="FE766A12"/>
    <w:rsid w:val="FE771168"/>
    <w:rsid w:val="FE7B7536"/>
    <w:rsid w:val="FE893CED"/>
    <w:rsid w:val="FEADF0EB"/>
    <w:rsid w:val="FEAF2488"/>
    <w:rsid w:val="FEB4F2C3"/>
    <w:rsid w:val="FEB71CA7"/>
    <w:rsid w:val="FEBD21BC"/>
    <w:rsid w:val="FEBF8062"/>
    <w:rsid w:val="FEBFFDB7"/>
    <w:rsid w:val="FEDF778D"/>
    <w:rsid w:val="FEDFEEDF"/>
    <w:rsid w:val="FEEF29C5"/>
    <w:rsid w:val="FEF49CFD"/>
    <w:rsid w:val="FEF4D8A0"/>
    <w:rsid w:val="FEF7C266"/>
    <w:rsid w:val="FEF7E336"/>
    <w:rsid w:val="FEFB1738"/>
    <w:rsid w:val="FEFB8BF4"/>
    <w:rsid w:val="FEFCD27B"/>
    <w:rsid w:val="FEFD85C7"/>
    <w:rsid w:val="FEFFEFB0"/>
    <w:rsid w:val="FF294B7E"/>
    <w:rsid w:val="FF2D4FD0"/>
    <w:rsid w:val="FF3C8550"/>
    <w:rsid w:val="FF3D10A1"/>
    <w:rsid w:val="FF471027"/>
    <w:rsid w:val="FF4DA68F"/>
    <w:rsid w:val="FF532FD0"/>
    <w:rsid w:val="FF5F0599"/>
    <w:rsid w:val="FF65AEC7"/>
    <w:rsid w:val="FF676BED"/>
    <w:rsid w:val="FF6B9F0F"/>
    <w:rsid w:val="FF6EF2FE"/>
    <w:rsid w:val="FF6FA05A"/>
    <w:rsid w:val="FF6FED2F"/>
    <w:rsid w:val="FF730462"/>
    <w:rsid w:val="FF7B05FB"/>
    <w:rsid w:val="FF7E7CCA"/>
    <w:rsid w:val="FF7F7662"/>
    <w:rsid w:val="FF873838"/>
    <w:rsid w:val="FF8D0E54"/>
    <w:rsid w:val="FF9528BB"/>
    <w:rsid w:val="FF96F330"/>
    <w:rsid w:val="FF976EFE"/>
    <w:rsid w:val="FF9C44BA"/>
    <w:rsid w:val="FF9F33A2"/>
    <w:rsid w:val="FFA3ECB8"/>
    <w:rsid w:val="FFA55A69"/>
    <w:rsid w:val="FFA7E6A5"/>
    <w:rsid w:val="FFA9FA3D"/>
    <w:rsid w:val="FFAF7775"/>
    <w:rsid w:val="FFB475B4"/>
    <w:rsid w:val="FFB74384"/>
    <w:rsid w:val="FFBA62B9"/>
    <w:rsid w:val="FFBB1B3B"/>
    <w:rsid w:val="FFBBB96C"/>
    <w:rsid w:val="FFBF2739"/>
    <w:rsid w:val="FFBF52A5"/>
    <w:rsid w:val="FFBF9A14"/>
    <w:rsid w:val="FFBFEEC2"/>
    <w:rsid w:val="FFC74311"/>
    <w:rsid w:val="FFC9B3AB"/>
    <w:rsid w:val="FFCE6490"/>
    <w:rsid w:val="FFCFCDDF"/>
    <w:rsid w:val="FFD7F7C4"/>
    <w:rsid w:val="FFDB4BCA"/>
    <w:rsid w:val="FFDB7D78"/>
    <w:rsid w:val="FFDB9D4F"/>
    <w:rsid w:val="FFDECF03"/>
    <w:rsid w:val="FFDF301D"/>
    <w:rsid w:val="FFDF4814"/>
    <w:rsid w:val="FFDF7796"/>
    <w:rsid w:val="FFDF79D6"/>
    <w:rsid w:val="FFE378E1"/>
    <w:rsid w:val="FFE7BC95"/>
    <w:rsid w:val="FFE9C13E"/>
    <w:rsid w:val="FFEB7884"/>
    <w:rsid w:val="FFEBD0E5"/>
    <w:rsid w:val="FFED8AB5"/>
    <w:rsid w:val="FFEF141B"/>
    <w:rsid w:val="FFEF3976"/>
    <w:rsid w:val="FFEFA5B8"/>
    <w:rsid w:val="FFEFB43E"/>
    <w:rsid w:val="FFEFBA10"/>
    <w:rsid w:val="FFEFC6D0"/>
    <w:rsid w:val="FFF375B9"/>
    <w:rsid w:val="FFF3A23B"/>
    <w:rsid w:val="FFF6144D"/>
    <w:rsid w:val="FFF73788"/>
    <w:rsid w:val="FFF7D87F"/>
    <w:rsid w:val="FFF91566"/>
    <w:rsid w:val="FFFA5ACB"/>
    <w:rsid w:val="FFFB2EDB"/>
    <w:rsid w:val="FFFB512C"/>
    <w:rsid w:val="FFFB9FDA"/>
    <w:rsid w:val="FFFC828C"/>
    <w:rsid w:val="FFFD2E80"/>
    <w:rsid w:val="FFFD7CFD"/>
    <w:rsid w:val="FFFE6FCC"/>
    <w:rsid w:val="FFFED1ED"/>
    <w:rsid w:val="FFFF26BB"/>
    <w:rsid w:val="FFFF75FB"/>
    <w:rsid w:val="FFFF821F"/>
    <w:rsid w:val="FFFF92BA"/>
    <w:rsid w:val="FFFFBF91"/>
    <w:rsid w:val="FFFFF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uiPriority w:val="9"/>
    <w:pPr>
      <w:spacing w:before="54"/>
      <w:ind w:left="747"/>
      <w:outlineLvl w:val="1"/>
    </w:pPr>
    <w:rPr>
      <w:rFonts w:ascii="楷体_GB2312" w:hAnsi="楷体_GB2312" w:eastAsia="楷体_GB2312" w:cs="楷体_GB2312"/>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semiHidden/>
    <w:unhideWhenUsed/>
    <w:qFormat/>
    <w:uiPriority w:val="99"/>
    <w:pPr>
      <w:spacing w:after="120"/>
    </w:pPr>
    <w:rPr>
      <w:rFonts w:ascii="Calibri" w:hAnsi="Calibri" w:eastAsia="宋体"/>
      <w:sz w:val="21"/>
      <w:szCs w:val="22"/>
    </w:rPr>
  </w:style>
  <w:style w:type="paragraph" w:styleId="4">
    <w:name w:val="Date"/>
    <w:basedOn w:val="1"/>
    <w:next w:val="1"/>
    <w:link w:val="22"/>
    <w:semiHidden/>
    <w:unhideWhenUsed/>
    <w:qFormat/>
    <w:uiPriority w:val="99"/>
    <w:pPr>
      <w:ind w:left="100" w:leftChars="2500"/>
    </w:pPr>
  </w:style>
  <w:style w:type="paragraph" w:styleId="5">
    <w:name w:val="Body Text Indent 2"/>
    <w:basedOn w:val="1"/>
    <w:next w:val="1"/>
    <w:qFormat/>
    <w:uiPriority w:val="0"/>
    <w:pPr>
      <w:spacing w:line="590" w:lineRule="exact"/>
      <w:ind w:firstLine="880" w:firstLineChars="200"/>
    </w:pPr>
    <w:rPr>
      <w:rFonts w:hint="eastAsia" w:ascii="宋体" w:hAnsi="宋体" w:eastAsia="方正仿宋_GBK"/>
    </w:rPr>
  </w:style>
  <w:style w:type="paragraph" w:styleId="6">
    <w:name w:val="Balloon Text"/>
    <w:basedOn w:val="1"/>
    <w:link w:val="2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rFonts w:ascii="Calibri" w:hAnsi="Calibri" w:eastAsia="宋体"/>
      <w:sz w:val="24"/>
      <w:szCs w:val="24"/>
    </w:rPr>
  </w:style>
  <w:style w:type="paragraph" w:styleId="10">
    <w:name w:val="Title"/>
    <w:basedOn w:val="1"/>
    <w:next w:val="1"/>
    <w:qFormat/>
    <w:uiPriority w:val="0"/>
    <w:pPr>
      <w:spacing w:before="240" w:after="60"/>
      <w:jc w:val="center"/>
      <w:outlineLvl w:val="0"/>
    </w:pPr>
    <w:rPr>
      <w:rFonts w:ascii="Cambria" w:hAnsi="Cambria" w:eastAsia="宋体"/>
      <w:b/>
      <w:bCs/>
    </w:rPr>
  </w:style>
  <w:style w:type="table" w:styleId="12">
    <w:name w:val="Table Grid"/>
    <w:basedOn w:val="11"/>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unhideWhenUsed/>
    <w:qFormat/>
    <w:uiPriority w:val="99"/>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正文文本 Char"/>
    <w:basedOn w:val="13"/>
    <w:link w:val="3"/>
    <w:semiHidden/>
    <w:qFormat/>
    <w:uiPriority w:val="99"/>
    <w:rPr>
      <w:rFonts w:ascii="Calibri" w:hAnsi="Calibri" w:eastAsia="宋体" w:cs="Times New Roman"/>
    </w:rPr>
  </w:style>
  <w:style w:type="character" w:customStyle="1" w:styleId="19">
    <w:name w:val="日期 Char"/>
    <w:basedOn w:val="13"/>
    <w:semiHidden/>
    <w:qFormat/>
    <w:uiPriority w:val="99"/>
    <w:rPr>
      <w:rFonts w:ascii="Times New Roman" w:hAnsi="Times New Roman" w:eastAsia="仿宋_GB2312" w:cs="Times New Roman"/>
      <w:sz w:val="32"/>
      <w:szCs w:val="32"/>
    </w:rPr>
  </w:style>
  <w:style w:type="character" w:customStyle="1" w:styleId="20">
    <w:name w:val="页眉 Char1"/>
    <w:semiHidden/>
    <w:qFormat/>
    <w:locked/>
    <w:uiPriority w:val="99"/>
    <w:rPr>
      <w:rFonts w:ascii="Times New Roman" w:hAnsi="Times New Roman" w:eastAsia="仿宋_GB2312" w:cs="Times New Roman"/>
      <w:sz w:val="18"/>
      <w:szCs w:val="18"/>
    </w:rPr>
  </w:style>
  <w:style w:type="character" w:customStyle="1" w:styleId="21">
    <w:name w:val="页脚 Char1"/>
    <w:semiHidden/>
    <w:qFormat/>
    <w:locked/>
    <w:uiPriority w:val="99"/>
    <w:rPr>
      <w:rFonts w:ascii="Times New Roman" w:hAnsi="Times New Roman" w:eastAsia="仿宋_GB2312" w:cs="Times New Roman"/>
      <w:sz w:val="18"/>
      <w:szCs w:val="18"/>
    </w:rPr>
  </w:style>
  <w:style w:type="character" w:customStyle="1" w:styleId="22">
    <w:name w:val="日期 Char1"/>
    <w:link w:val="4"/>
    <w:semiHidden/>
    <w:qFormat/>
    <w:locked/>
    <w:uiPriority w:val="99"/>
    <w:rPr>
      <w:rFonts w:ascii="Times New Roman" w:hAnsi="Times New Roman" w:eastAsia="仿宋_GB2312" w:cs="Times New Roman"/>
      <w:sz w:val="32"/>
      <w:szCs w:val="32"/>
    </w:rPr>
  </w:style>
  <w:style w:type="paragraph" w:customStyle="1" w:styleId="23">
    <w:name w:val="Default"/>
    <w:qFormat/>
    <w:uiPriority w:val="0"/>
    <w:pPr>
      <w:autoSpaceDE w:val="0"/>
      <w:autoSpaceDN w:val="0"/>
      <w:adjustRightInd w:val="0"/>
    </w:pPr>
    <w:rPr>
      <w:rFonts w:ascii="华文中宋" w:hAnsi="华文中宋" w:eastAsia="宋体" w:cs="华文中宋"/>
      <w:color w:val="000000"/>
      <w:sz w:val="24"/>
      <w:szCs w:val="24"/>
      <w:lang w:val="en-US" w:eastAsia="zh-CN" w:bidi="ar-SA"/>
    </w:rPr>
  </w:style>
  <w:style w:type="character" w:customStyle="1" w:styleId="24">
    <w:name w:val="NormalCharacter"/>
    <w:qFormat/>
    <w:uiPriority w:val="0"/>
    <w:rPr>
      <w:rFonts w:ascii="Times New Roman" w:hAnsi="Times New Roman" w:eastAsia="宋体"/>
    </w:rPr>
  </w:style>
  <w:style w:type="character" w:customStyle="1" w:styleId="25">
    <w:name w:val="批注框文本 Char"/>
    <w:basedOn w:val="13"/>
    <w:link w:val="6"/>
    <w:semiHidden/>
    <w:qFormat/>
    <w:uiPriority w:val="99"/>
    <w:rPr>
      <w:rFonts w:eastAsia="仿宋_GB2312"/>
      <w:kern w:val="2"/>
      <w:sz w:val="18"/>
      <w:szCs w:val="18"/>
    </w:rPr>
  </w:style>
  <w:style w:type="character" w:customStyle="1" w:styleId="26">
    <w:name w:val="font01"/>
    <w:basedOn w:val="13"/>
    <w:qFormat/>
    <w:uiPriority w:val="0"/>
    <w:rPr>
      <w:rFonts w:hint="default" w:ascii="Times New Roman" w:hAnsi="Times New Roman" w:cs="Times New Roman"/>
      <w:color w:val="000000"/>
      <w:sz w:val="21"/>
      <w:szCs w:val="21"/>
      <w:u w:val="none"/>
    </w:rPr>
  </w:style>
  <w:style w:type="character" w:customStyle="1" w:styleId="27">
    <w:name w:val="font11"/>
    <w:basedOn w:val="13"/>
    <w:qFormat/>
    <w:uiPriority w:val="0"/>
    <w:rPr>
      <w:rFonts w:hint="eastAsia" w:ascii="仿宋_GB2312" w:eastAsia="仿宋_GB2312" w:cs="仿宋_GB2312"/>
      <w:color w:val="000000"/>
      <w:sz w:val="21"/>
      <w:szCs w:val="21"/>
      <w:u w:val="none"/>
    </w:rPr>
  </w:style>
  <w:style w:type="character" w:customStyle="1" w:styleId="28">
    <w:name w:val="font41"/>
    <w:basedOn w:val="13"/>
    <w:qFormat/>
    <w:uiPriority w:val="0"/>
    <w:rPr>
      <w:rFonts w:hint="eastAsia" w:ascii="仿宋_GB2312" w:eastAsia="仿宋_GB2312" w:cs="仿宋_GB2312"/>
      <w:b/>
      <w:color w:val="000000"/>
      <w:sz w:val="21"/>
      <w:szCs w:val="21"/>
      <w:u w:val="none"/>
    </w:rPr>
  </w:style>
  <w:style w:type="character" w:customStyle="1" w:styleId="29">
    <w:name w:val="font31"/>
    <w:basedOn w:val="13"/>
    <w:qFormat/>
    <w:uiPriority w:val="0"/>
    <w:rPr>
      <w:rFonts w:ascii="汉仪大黑简" w:hAnsi="汉仪大黑简" w:eastAsia="汉仪大黑简" w:cs="汉仪大黑简"/>
      <w:color w:val="000000"/>
      <w:sz w:val="21"/>
      <w:szCs w:val="21"/>
      <w:u w:val="none"/>
    </w:rPr>
  </w:style>
  <w:style w:type="paragraph" w:customStyle="1" w:styleId="30">
    <w:name w:val="框架内容"/>
    <w:basedOn w:val="1"/>
    <w:qFormat/>
    <w:uiPriority w:val="0"/>
  </w:style>
  <w:style w:type="paragraph" w:customStyle="1" w:styleId="31">
    <w:name w:val="列表段落1"/>
    <w:basedOn w:val="1"/>
    <w:qFormat/>
    <w:uiPriority w:val="34"/>
    <w:pPr>
      <w:ind w:firstLine="420"/>
    </w:pPr>
    <w:rPr>
      <w:rFonts w:ascii="Calibri" w:hAnsi="Calibri" w:eastAsia="宋体"/>
      <w:sz w:val="21"/>
      <w:szCs w:val="24"/>
    </w:rPr>
  </w:style>
  <w:style w:type="paragraph" w:customStyle="1" w:styleId="32">
    <w:name w:val="列出段落1"/>
    <w:basedOn w:val="1"/>
    <w:qFormat/>
    <w:uiPriority w:val="34"/>
    <w:pPr>
      <w:ind w:firstLine="420" w:firstLineChars="200"/>
    </w:pPr>
    <w:rPr>
      <w:rFonts w:ascii="Calibri" w:hAnsi="Calibri" w:eastAsia="宋体"/>
      <w:sz w:val="21"/>
      <w:szCs w:val="24"/>
    </w:rPr>
  </w:style>
  <w:style w:type="table" w:customStyle="1" w:styleId="3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27952</Words>
  <Characters>28165</Characters>
  <Lines>209</Lines>
  <Paragraphs>58</Paragraphs>
  <TotalTime>4</TotalTime>
  <ScaleCrop>false</ScaleCrop>
  <LinksUpToDate>false</LinksUpToDate>
  <CharactersWithSpaces>28475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2022-12-31T09:21:00Z</dcterms:created>
  <dc:creator>石榆帆</dc:creator>
  <cp:lastModifiedBy>胡豆儿</cp:lastModifiedBy>
  <cp:lastPrinted>2022-12-31T11:53:00Z</cp:lastPrinted>
  <dcterms:modified xsi:type="dcterms:W3CDTF">2023-05-29T07:47:45Z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CC34F3CBE1644C3897DA7B2ED0D26975_13</vt:lpwstr>
  </property>
</Properties>
</file>