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1E956">
      <w:pPr>
        <w:jc w:val="center"/>
      </w:pPr>
      <w:bookmarkStart w:id="0" w:name="doc_mark"/>
      <w:r>
        <w:rPr>
          <w:rFonts w:hint="eastAsia"/>
        </w:rPr>
        <w:t>川教函〔2024〕304号</w:t>
      </w:r>
      <w:bookmarkEnd w:id="0"/>
    </w:p>
    <w:p w14:paraId="1ACDD945">
      <w:pPr>
        <w:spacing w:line="600" w:lineRule="exact"/>
        <w:ind w:firstLine="640" w:firstLineChars="200"/>
        <w:rPr>
          <w:szCs w:val="44"/>
        </w:rPr>
      </w:pPr>
    </w:p>
    <w:p w14:paraId="72C805BA">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四川省教育厅</w:t>
      </w:r>
    </w:p>
    <w:p w14:paraId="73B2EC07">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bookmarkStart w:id="1" w:name="FunCunProofread131"/>
      <w:r>
        <w:rPr>
          <w:rFonts w:hint="eastAsia" w:ascii="方正小标宋_GBK" w:hAnsi="方正小标宋_GBK" w:eastAsia="方正小标宋_GBK" w:cs="方正小标宋_GBK"/>
          <w:sz w:val="44"/>
          <w:szCs w:val="44"/>
          <w:u w:color="FFFFFF"/>
        </w:rPr>
        <w:t>《</w:t>
      </w:r>
      <w:bookmarkEnd w:id="1"/>
      <w:r>
        <w:rPr>
          <w:rFonts w:hint="eastAsia" w:ascii="方正小标宋_GBK" w:hAnsi="方正小标宋_GBK" w:eastAsia="方正小标宋_GBK" w:cs="方正小标宋_GBK"/>
          <w:sz w:val="44"/>
          <w:szCs w:val="44"/>
        </w:rPr>
        <w:t>四川省“典耀中华”主题读书</w:t>
      </w:r>
    </w:p>
    <w:p w14:paraId="44DF5254">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行动实施方案</w:t>
      </w:r>
      <w:bookmarkStart w:id="2" w:name="FunCunProofread341"/>
      <w:r>
        <w:rPr>
          <w:rFonts w:hint="eastAsia" w:ascii="方正小标宋_GBK" w:hAnsi="方正小标宋_GBK" w:eastAsia="方正小标宋_GBK" w:cs="方正小标宋_GBK"/>
          <w:sz w:val="44"/>
          <w:szCs w:val="44"/>
          <w:u w:color="FFFFFF"/>
        </w:rPr>
        <w:t>》</w:t>
      </w:r>
      <w:bookmarkEnd w:id="2"/>
      <w:r>
        <w:rPr>
          <w:rFonts w:hint="eastAsia" w:ascii="方正小标宋_GBK" w:hAnsi="方正小标宋_GBK" w:eastAsia="方正小标宋_GBK" w:cs="方正小标宋_GBK"/>
          <w:sz w:val="44"/>
          <w:szCs w:val="44"/>
        </w:rPr>
        <w:t>的通知</w:t>
      </w:r>
    </w:p>
    <w:p w14:paraId="30A5617F">
      <w:pPr>
        <w:spacing w:line="600" w:lineRule="exact"/>
        <w:ind w:firstLine="640" w:firstLineChars="200"/>
      </w:pPr>
    </w:p>
    <w:p w14:paraId="1ED181F7">
      <w:pPr>
        <w:spacing w:line="600" w:lineRule="exact"/>
      </w:pPr>
      <w:r>
        <w:rPr>
          <w:rFonts w:hint="eastAsia"/>
        </w:rPr>
        <w:t>各市（州）教育主管部门，各高等学校：</w:t>
      </w:r>
    </w:p>
    <w:p w14:paraId="1186E5A0">
      <w:pPr>
        <w:spacing w:line="600" w:lineRule="exact"/>
        <w:ind w:firstLine="640" w:firstLineChars="200"/>
      </w:pPr>
      <w:r>
        <w:rPr>
          <w:rFonts w:hint="eastAsia"/>
        </w:rPr>
        <w:t>为深入贯彻落实党的二十大关于深化全民阅读活动的重要部署，有力推动青少年读书行动，根据《国家语委关于深入实施“典耀中华”主题读书行动的指导意见》（国语〔2023〕1号），教育厅制定了《四川省“典耀中华”主题读书行动实施方案》，现印发你们，请结合实际认真抓好落实。</w:t>
      </w:r>
    </w:p>
    <w:p w14:paraId="32FA6211">
      <w:pPr>
        <w:spacing w:line="600" w:lineRule="exact"/>
        <w:ind w:firstLine="640" w:firstLineChars="200"/>
      </w:pPr>
    </w:p>
    <w:p w14:paraId="45686540">
      <w:pPr>
        <w:spacing w:line="600" w:lineRule="exact"/>
        <w:ind w:firstLine="640" w:firstLineChars="200"/>
      </w:pPr>
    </w:p>
    <w:p w14:paraId="1CF6BD12">
      <w:pPr>
        <w:spacing w:line="600" w:lineRule="exact"/>
        <w:ind w:firstLine="640" w:firstLineChars="200"/>
      </w:pPr>
    </w:p>
    <w:p w14:paraId="477B2A57">
      <w:pPr>
        <w:spacing w:line="600" w:lineRule="exact"/>
        <w:ind w:right="1613" w:rightChars="504" w:firstLine="640" w:firstLineChars="200"/>
        <w:jc w:val="right"/>
      </w:pPr>
      <w:r>
        <w:rPr>
          <w:rFonts w:hint="eastAsia"/>
        </w:rPr>
        <w:t>四川省教育厅</w:t>
      </w:r>
    </w:p>
    <w:p w14:paraId="5007EF7D">
      <w:pPr>
        <w:spacing w:line="600" w:lineRule="exact"/>
        <w:ind w:right="1280" w:rightChars="400" w:firstLine="640"/>
        <w:jc w:val="right"/>
      </w:pPr>
      <w:r>
        <w:rPr>
          <w:rFonts w:hint="eastAsia"/>
        </w:rPr>
        <w:t>2024年6月18日</w:t>
      </w:r>
    </w:p>
    <w:p w14:paraId="07B2FD01">
      <w:pPr>
        <w:spacing w:line="600" w:lineRule="exact"/>
        <w:ind w:firstLine="640" w:firstLineChars="200"/>
        <w:sectPr>
          <w:footerReference r:id="rId3" w:type="even"/>
          <w:pgSz w:w="11907" w:h="16840"/>
          <w:pgMar w:top="1588" w:right="1474" w:bottom="1304" w:left="1588" w:header="1134" w:footer="1134" w:gutter="0"/>
          <w:cols w:space="425" w:num="1"/>
          <w:docGrid w:linePitch="435" w:charSpace="0"/>
        </w:sectPr>
      </w:pPr>
    </w:p>
    <w:p w14:paraId="3381ADE7">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四川省“典耀中华”主题读书行动实施方案</w:t>
      </w:r>
    </w:p>
    <w:p w14:paraId="23645CB3">
      <w:pPr>
        <w:spacing w:line="600" w:lineRule="exact"/>
        <w:ind w:firstLine="640" w:firstLineChars="200"/>
      </w:pPr>
    </w:p>
    <w:p w14:paraId="44F747ED">
      <w:pPr>
        <w:spacing w:line="600" w:lineRule="exact"/>
        <w:ind w:firstLine="640" w:firstLineChars="200"/>
      </w:pPr>
      <w:r>
        <w:rPr>
          <w:rFonts w:hint="eastAsia"/>
        </w:rPr>
        <w:t>为深入贯彻落实党的二十大精神，学习贯彻习近平文化思想，加快建设教育强国，加大国家通用语言文字推广力度，传承发展中华优秀传统文化，有力推动青少年读书行动，根据《国家语委关于深入实施“典耀中华”主题读书行动的指导意见》（国语〔2023〕1号），特制定本实施方案。</w:t>
      </w:r>
    </w:p>
    <w:p w14:paraId="2AB0A1CE">
      <w:pPr>
        <w:spacing w:line="600" w:lineRule="exact"/>
        <w:ind w:firstLine="640" w:firstLineChars="200"/>
        <w:rPr>
          <w:rFonts w:ascii="黑体" w:hAnsi="黑体" w:eastAsia="黑体"/>
        </w:rPr>
      </w:pPr>
      <w:r>
        <w:rPr>
          <w:rFonts w:hint="eastAsia" w:ascii="黑体" w:hAnsi="黑体" w:eastAsia="黑体"/>
        </w:rPr>
        <w:t>一、指导思想</w:t>
      </w:r>
    </w:p>
    <w:p w14:paraId="6015B8C2">
      <w:pPr>
        <w:spacing w:line="600" w:lineRule="exact"/>
        <w:ind w:firstLine="640" w:firstLineChars="200"/>
      </w:pPr>
      <w:r>
        <w:rPr>
          <w:rFonts w:hint="eastAsia"/>
        </w:rPr>
        <w:t>以习近平新时代中国特色社会主义思想为指导，深入学习贯彻习近平文化思想，深刻理解“两个结合”的重大意义，落实立德树人根本任务，传承发展中华优秀文化，引导社会大众尤其是青少年加强中华传统经典、红色经典和当代经典阅读，推进文化自信自强，服务铸牢中华民族共同体意识，助力建设中华民族现代文明。</w:t>
      </w:r>
    </w:p>
    <w:p w14:paraId="288C92DC">
      <w:pPr>
        <w:spacing w:line="600" w:lineRule="exact"/>
        <w:ind w:firstLine="640" w:firstLineChars="200"/>
        <w:rPr>
          <w:rFonts w:ascii="黑体" w:hAnsi="黑体" w:eastAsia="黑体"/>
        </w:rPr>
      </w:pPr>
      <w:r>
        <w:rPr>
          <w:rFonts w:hint="eastAsia" w:ascii="黑体" w:hAnsi="黑体" w:eastAsia="黑体"/>
        </w:rPr>
        <w:t>二、工作目标</w:t>
      </w:r>
    </w:p>
    <w:p w14:paraId="6BCCDCAA">
      <w:pPr>
        <w:spacing w:line="600" w:lineRule="exact"/>
        <w:ind w:firstLine="640" w:firstLineChars="200"/>
      </w:pPr>
      <w:r>
        <w:rPr>
          <w:rFonts w:hint="eastAsia"/>
        </w:rPr>
        <w:t>用3到5年时间，通过广泛深入开展“</w:t>
      </w:r>
      <w:bookmarkStart w:id="3" w:name="FunCunProofread6081"/>
      <w:r>
        <w:rPr>
          <w:rFonts w:hint="eastAsia"/>
        </w:rPr>
        <w:t>典</w:t>
      </w:r>
      <w:bookmarkEnd w:id="3"/>
      <w:r>
        <w:rPr>
          <w:rFonts w:hint="eastAsia"/>
        </w:rPr>
        <w:t>耀中华”主题读书行动，探索建立活动载体丰富、服务体系完善的长效工作机制，将经典阅读有机融入学校、家庭、社会教育全过程各领域，社会大众尤其是广大青少年阅读经典的兴趣进一步激发，习惯进一步养成，“一种能力两种意识”（国家通用语言文字应用能力，自觉规范使用国家通用语言文字的意识、自觉传承弘扬中华优秀语言文化的意识）显著增强，厚植爱党爱国爱社会主义信念。深入推进“书香校园”建设，进一步完善贯穿大中小幼的经典教育传承推广体系。</w:t>
      </w:r>
    </w:p>
    <w:p w14:paraId="2817B01E">
      <w:pPr>
        <w:spacing w:line="600" w:lineRule="exact"/>
        <w:ind w:firstLine="640" w:firstLineChars="200"/>
        <w:rPr>
          <w:rFonts w:ascii="黑体" w:hAnsi="黑体" w:eastAsia="黑体"/>
        </w:rPr>
      </w:pPr>
      <w:r>
        <w:rPr>
          <w:rFonts w:hint="eastAsia" w:ascii="黑体" w:hAnsi="黑体" w:eastAsia="黑体"/>
        </w:rPr>
        <w:t>三、工作任务</w:t>
      </w:r>
    </w:p>
    <w:p w14:paraId="685A8E69">
      <w:pPr>
        <w:spacing w:line="600" w:lineRule="exact"/>
        <w:ind w:firstLine="640" w:firstLineChars="200"/>
      </w:pPr>
      <w:r>
        <w:rPr>
          <w:rFonts w:hint="eastAsia" w:ascii="楷体_GB2312" w:eastAsia="楷体_GB2312"/>
          <w:bCs/>
        </w:rPr>
        <w:t>（一）丰富阅读内容。</w:t>
      </w:r>
      <w:r>
        <w:rPr>
          <w:rFonts w:hint="eastAsia"/>
        </w:rPr>
        <w:t>坚持以铸魂育人为主线，把经典阅读作为立德树人的重要内容，有机融入课堂教学、课外活动、日常生活，根据不同年龄、不同学段认知规律和身心发展特点，有针对性地丰富经典阅读内容，倡导博览群书、广泛阅读。阅读内容既注重哲学社会科学经典和自然科学经典并重，也注重吸收一切人类文明成果，国内外经典兼读并蓄。鼓励各地各校深入挖掘和阐释经典的时代内涵，促进经典阅读与教育改革发展、教育教学实践相结合，推动产出更多符合新时代需求的经典普及图书、优秀通俗理论读物等，支持开展经典阅读数字资源开发。鼓励各地各校按照教育部《中小学生课外读物进校园管理办法》（教材〔2021〕2号）等有关规定，结合地域历史文化特点，进一步丰富学生阅读书目。</w:t>
      </w:r>
    </w:p>
    <w:p w14:paraId="35324E31">
      <w:pPr>
        <w:spacing w:line="600" w:lineRule="exact"/>
        <w:ind w:firstLine="640" w:firstLineChars="200"/>
      </w:pPr>
      <w:r>
        <w:rPr>
          <w:rFonts w:hint="eastAsia" w:ascii="楷体_GB2312" w:eastAsia="楷体_GB2312"/>
          <w:bCs/>
        </w:rPr>
        <w:t>（二）加强阅读指导。</w:t>
      </w:r>
      <w:r>
        <w:rPr>
          <w:rFonts w:hint="eastAsia"/>
        </w:rPr>
        <w:t>探索建立经典阅读指导机制，系统开展经典阅读培训和指导活动。强化教师阅读指导培训，组织骨干教师、教研员等参加经典诵读、中华经典文化素养提升示范培训。注重发挥广大教师、专家学者、“五老”队伍、学生家长等各方面的重要作用，推动建立省、市、县、校各级经典阅读指导队伍，常态化组织开展经典阅读教研和指导活动。将经典阅读教学能力和指导能力纳入教师培训内容，重点开展对校（园）长、语文教师等的经典阅读培训，培育经典阅读指导骨干。建立健全学生阅读指导机制，充分利用数字技术和资源，遵循学习及阅读规律，科学引导学生阅读，探索完善“导—读—写（讲）—评”一体化“智能+”经典阅读新模式。</w:t>
      </w:r>
    </w:p>
    <w:p w14:paraId="448805C9">
      <w:pPr>
        <w:spacing w:line="600" w:lineRule="exact"/>
        <w:ind w:firstLine="640" w:firstLineChars="200"/>
      </w:pPr>
      <w:r>
        <w:rPr>
          <w:rFonts w:hint="eastAsia" w:ascii="楷体_GB2312" w:eastAsia="楷体_GB2312"/>
          <w:bCs/>
        </w:rPr>
        <w:t>（三）拓展阅读空间。</w:t>
      </w:r>
      <w:r>
        <w:rPr>
          <w:rFonts w:hint="eastAsia"/>
        </w:rPr>
        <w:t>把经典阅读与“书香校园”建设、家庭亲子阅读、全民阅读活动等统筹推进，建立健全家庭、社区、学校、乡镇（街道）等多位一体的经典阅读融合推广模式，营造阅读经典的浓厚社会氛围。积极组织开展家庭阅读、亲子阅读、师生共读、名家领读、社会阅读等，扩大经典阅读覆盖面。用好各类文化艺术科技场馆，因地制宜将经典阅读融入城乡15分钟品质文化生活圈建设。鼓励各地各校探索未来社区（乡村）经典阅读空间建设。</w:t>
      </w:r>
    </w:p>
    <w:p w14:paraId="46489DB7">
      <w:pPr>
        <w:spacing w:line="600" w:lineRule="exact"/>
        <w:ind w:firstLine="640" w:firstLineChars="200"/>
      </w:pPr>
      <w:r>
        <w:rPr>
          <w:rFonts w:hint="eastAsia" w:ascii="楷体_GB2312" w:eastAsia="楷体_GB2312"/>
          <w:bCs/>
        </w:rPr>
        <w:t>（四）搭建阅读平台。</w:t>
      </w:r>
      <w:r>
        <w:rPr>
          <w:rFonts w:hint="eastAsia"/>
        </w:rPr>
        <w:t>持续举办中华经典诵写讲演系列活动，进一步开展好“书香天府”经典阅读、“蜀风诗韵”中小学生诗词大会、中华经典课本剧创作展演等活动。按照教育部、国家语委统一部署，广泛开展“名师优读”征集活动，培育“典耀中华”主题读书特色学校、典型案例和示范品牌。以国家语言文字推广基地为引领，组织开展中华经典进万校、润万家系列读书活动。充分利用中国传统节日节气、重大节庆和纪念日、国家重大活动和重要事件等，组织开展主题阅读推广展示活动，通过经典分享、名篇赏析、读书沙龙、阅读讲座等线上线下相结合的形式，创新开展读书月、读书周、读书日、读书节等活动，着力打造富有吸引力、影响力的经典阅读品牌项目。鼓励各地各校开发原创经典语言文化类品牌节目，支持开展沉浸式、体验式主题研学，推进经典阅读特色典型案例建设。</w:t>
      </w:r>
    </w:p>
    <w:p w14:paraId="73E3631F">
      <w:pPr>
        <w:spacing w:line="600" w:lineRule="exact"/>
        <w:ind w:firstLine="640" w:firstLineChars="200"/>
      </w:pPr>
      <w:r>
        <w:rPr>
          <w:rFonts w:hint="eastAsia" w:ascii="楷体_GB2312" w:eastAsia="楷体_GB2312"/>
          <w:bCs/>
        </w:rPr>
        <w:t>（五）强化阅读服务。</w:t>
      </w:r>
      <w:r>
        <w:rPr>
          <w:rFonts w:hint="eastAsia"/>
        </w:rPr>
        <w:t>持续推进“经典润乡土”“家园中国”中华经典传承推广活动，探索引导农村地区、民族地区青少年共读经典的举措机制。支持国家语言文字推广基地对口国家乡村振兴重点帮扶县和语言文字基础薄弱的地区开展帮扶，持续组织开展大学生语言文化社会实践志愿服务。鼓励支持有条件的地区推进视力听力残疾人等特殊群体的经典阅读服务保障。引导公共文化机构提供更多适老化经典阅读产品与网络视听服务。充分发挥各级语言文字学会、协会作用，以公益服务为宗旨，常态化组织经典阅读、书写、讲解等名家进校园、入社区、下基层、进部队实践活动。支持各地建立跨区域经典阅读交流机制。鼓励高校积极参与国家经典阅读海外拓展计划，参与海外中国经典阅读教材开发。支持高校、科研院所创建国际人文经典交流基地。</w:t>
      </w:r>
    </w:p>
    <w:p w14:paraId="72A25F81">
      <w:pPr>
        <w:numPr>
          <w:ilvl w:val="255"/>
          <w:numId w:val="0"/>
        </w:numPr>
        <w:spacing w:line="600" w:lineRule="exact"/>
        <w:ind w:firstLine="640" w:firstLineChars="200"/>
      </w:pPr>
      <w:r>
        <w:rPr>
          <w:rFonts w:hint="eastAsia" w:ascii="楷体_GB2312" w:eastAsia="楷体_GB2312"/>
          <w:bCs/>
        </w:rPr>
        <w:t>（六）推进重点活动。</w:t>
      </w:r>
      <w:r>
        <w:rPr>
          <w:rFonts w:hint="eastAsia"/>
        </w:rPr>
        <w:t>开展“典耀中华·阅读童心”活动，指导推动幼儿园组织开展绘本分享、讲故事、朗诵、舞台剧等形式多样的阅读活动，提高幼儿的经典阅读兴趣，涵育家庭阅读风尚。开展“典耀中华·阅伴成长”活动，指导推动中小学校结合实际开展系列化的经典阅读活动，打造丰富多彩的第二课堂，培养学生经典阅读习惯，加强中华经典文化理解。开展“典耀中华·阅向未来”活动，指导推动高校通过组织专家、学者、名师、作家开设经典阅读公益大讲坛等活动，增强大学生经典阅读能力，积极传承弘扬中华经典文化。开展“典耀中华·成果展评”活动，以中小学（幼儿园）为重点，在国家推荐阅读书目中选取部分读物，依托“典耀书香”微信公众号，分学段组织进行阅读效果测评，并遴选优秀学生（幼儿）和特色学校，通过电视广播和新媒体平台等广泛开展交流展示（参与流程详见附件）。</w:t>
      </w:r>
    </w:p>
    <w:p w14:paraId="51C8E131">
      <w:pPr>
        <w:spacing w:line="600" w:lineRule="exact"/>
        <w:ind w:firstLine="640" w:firstLineChars="200"/>
        <w:rPr>
          <w:rFonts w:ascii="黑体" w:hAnsi="黑体" w:eastAsia="黑体"/>
        </w:rPr>
      </w:pPr>
      <w:r>
        <w:rPr>
          <w:rFonts w:hint="eastAsia" w:ascii="黑体" w:hAnsi="黑体" w:eastAsia="黑体"/>
        </w:rPr>
        <w:t>四、保障措施</w:t>
      </w:r>
    </w:p>
    <w:p w14:paraId="302EB639">
      <w:pPr>
        <w:spacing w:line="600" w:lineRule="exact"/>
        <w:ind w:firstLine="640" w:firstLineChars="200"/>
      </w:pPr>
      <w:r>
        <w:rPr>
          <w:rFonts w:hint="eastAsia" w:ascii="楷体_GB2312" w:eastAsia="楷体_GB2312"/>
          <w:bCs/>
        </w:rPr>
        <w:t>（一）加强组织领导。</w:t>
      </w:r>
      <w:r>
        <w:rPr>
          <w:rFonts w:hint="eastAsia"/>
        </w:rPr>
        <w:t>各地各校要将“典耀中华”主题读书行动作为落实立德树人根本任务的重要举措，健全工作机制，加强统筹谋划，制定具体实施方案，积极争取不同渠道资金投入，强化条件保障，确保取得实效。</w:t>
      </w:r>
    </w:p>
    <w:p w14:paraId="628CC77B">
      <w:pPr>
        <w:spacing w:line="600" w:lineRule="exact"/>
        <w:ind w:firstLine="640" w:firstLineChars="200"/>
      </w:pPr>
      <w:r>
        <w:rPr>
          <w:rFonts w:hint="eastAsia" w:ascii="楷体_GB2312" w:eastAsia="楷体_GB2312"/>
          <w:bCs/>
        </w:rPr>
        <w:t>（二）加强统筹协调。</w:t>
      </w:r>
      <w:r>
        <w:rPr>
          <w:rFonts w:hint="eastAsia"/>
        </w:rPr>
        <w:t>各级教育主管部门要协同宣传、网信、文化和旅游、工会、共青团、妇联等单位，争取多方力量支持，有效利用图书馆、博物馆、文化馆、美术馆、科技馆等社会公共资源，广泛吸引和扶持语言文字及相关领域学术团体、社会组织等社会力量参与，共同推进行动实施。</w:t>
      </w:r>
    </w:p>
    <w:p w14:paraId="6506034E">
      <w:pPr>
        <w:spacing w:line="600" w:lineRule="exact"/>
        <w:ind w:firstLine="640" w:firstLineChars="200"/>
      </w:pPr>
      <w:r>
        <w:rPr>
          <w:rFonts w:hint="eastAsia" w:ascii="楷体_GB2312" w:eastAsia="楷体_GB2312"/>
          <w:bCs/>
        </w:rPr>
        <w:t>（三）加强宣传推广。</w:t>
      </w:r>
      <w:r>
        <w:rPr>
          <w:rFonts w:hint="eastAsia"/>
        </w:rPr>
        <w:t>各地各校要及时总结凝练典型经验，归纳提炼创新成果，建立常态化宣传推广机制扩大行动影响力。要加大对“典耀中华”主题读书行动中典型案例特别是典型人物事件的宣传力度，大力营造持续深入开展“典耀中华”主题读书行动的良好环境和浓厚氛围。</w:t>
      </w:r>
    </w:p>
    <w:p w14:paraId="79BFEFEC">
      <w:pPr>
        <w:ind w:firstLine="640" w:firstLineChars="200"/>
      </w:pPr>
    </w:p>
    <w:p w14:paraId="481FAF6D">
      <w:pPr>
        <w:spacing w:line="600" w:lineRule="exact"/>
        <w:ind w:firstLine="640" w:firstLineChars="200"/>
      </w:pPr>
      <w:r>
        <w:rPr>
          <w:rFonts w:hint="eastAsia"/>
        </w:rPr>
        <w:t>附件:“典耀中华·成果展评”参与流程</w:t>
      </w:r>
    </w:p>
    <w:p w14:paraId="624CB053">
      <w:pPr>
        <w:spacing w:line="560" w:lineRule="exact"/>
        <w:rPr>
          <w:rFonts w:ascii="黑体" w:hAnsi="黑体" w:eastAsia="黑体" w:cs="黑体"/>
        </w:rPr>
      </w:pPr>
      <w:r>
        <w:rPr>
          <w:rFonts w:ascii="仿宋_GB2312" w:hAnsi="仿宋_GB2312" w:cs="仿宋_GB2312"/>
        </w:rPr>
        <w:br w:type="page"/>
      </w:r>
      <w:r>
        <w:rPr>
          <w:rFonts w:hint="eastAsia" w:ascii="黑体" w:hAnsi="黑体" w:eastAsia="黑体" w:cs="黑体"/>
        </w:rPr>
        <w:t>附件</w:t>
      </w:r>
    </w:p>
    <w:p w14:paraId="1EA98890">
      <w:pPr>
        <w:spacing w:line="600" w:lineRule="exact"/>
        <w:ind w:firstLine="640" w:firstLineChars="200"/>
      </w:pPr>
    </w:p>
    <w:p w14:paraId="24553685">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“典耀中华·成果展评”参与流程</w:t>
      </w:r>
    </w:p>
    <w:p w14:paraId="2D75A9DA">
      <w:pPr>
        <w:spacing w:line="600" w:lineRule="exact"/>
        <w:ind w:firstLine="640" w:firstLineChars="200"/>
      </w:pPr>
    </w:p>
    <w:p w14:paraId="0E74E937">
      <w:pPr>
        <w:spacing w:line="600" w:lineRule="exact"/>
        <w:ind w:firstLine="640" w:firstLineChars="200"/>
        <w:rPr>
          <w:rFonts w:ascii="黑体" w:hAnsi="黑体" w:eastAsia="黑体"/>
        </w:rPr>
      </w:pPr>
      <w:r>
        <w:rPr>
          <w:rFonts w:hint="eastAsia" w:ascii="黑体" w:hAnsi="黑体" w:eastAsia="黑体"/>
        </w:rPr>
        <w:t>一、测评流程</w:t>
      </w:r>
    </w:p>
    <w:p w14:paraId="748D24AD">
      <w:pPr>
        <w:spacing w:line="600" w:lineRule="exact"/>
        <w:ind w:firstLine="640" w:firstLineChars="200"/>
      </w:pPr>
      <w:r>
        <w:t>1.</w:t>
      </w:r>
      <w:r>
        <w:rPr>
          <w:rFonts w:hint="eastAsia"/>
        </w:rPr>
        <w:t>教师：微信</w:t>
      </w:r>
      <w:r>
        <w:t>扫描二维码</w:t>
      </w:r>
      <w:r>
        <w:rPr>
          <w:rFonts w:hint="eastAsia"/>
        </w:rPr>
        <w:t>关注公众号，根据提示点击“典耀中华·成果展评”注册，完善班级信息，创建班级邀请链接。</w:t>
      </w:r>
    </w:p>
    <w:p w14:paraId="20009EE1">
      <w:pPr>
        <w:spacing w:line="600" w:lineRule="exact"/>
        <w:ind w:firstLine="640" w:firstLineChars="200"/>
      </w:pPr>
      <w:r>
        <w:t>2.</w:t>
      </w:r>
      <w:r>
        <w:rPr>
          <w:rFonts w:hint="eastAsia"/>
        </w:rPr>
        <w:t>学生：点击邀请链接加入班级，按流程完成注册。选择阅读书目根据阅读进程完成测评，并参加答题挑战。</w:t>
      </w:r>
    </w:p>
    <w:p w14:paraId="06566830">
      <w:pPr>
        <w:ind w:firstLine="640" w:firstLineChars="200"/>
      </w:pPr>
    </w:p>
    <w:p w14:paraId="7F49474E">
      <w:pPr>
        <w:jc w:val="center"/>
        <w:rPr>
          <w:rFonts w:ascii="黑体" w:hAnsi="黑体" w:eastAsia="黑体" w:cs="黑体"/>
        </w:rPr>
      </w:pPr>
      <w:r>
        <w:rPr>
          <w:rFonts w:ascii="仿宋_GB2312" w:hAnsi="仿宋_GB2312" w:cs="仿宋_GB2312"/>
        </w:rPr>
        <w:drawing>
          <wp:inline distT="0" distB="0" distL="0" distR="0">
            <wp:extent cx="1673225" cy="1673225"/>
            <wp:effectExtent l="0" t="0" r="0" b="0"/>
            <wp:docPr id="1" name="图片 1" descr="25813b22f945ec859811844f517e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5813b22f945ec859811844f517e97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673225" cy="1673225"/>
                    </a:xfrm>
                    <a:prstGeom prst="rect">
                      <a:avLst/>
                    </a:prstGeom>
                  </pic:spPr>
                </pic:pic>
              </a:graphicData>
            </a:graphic>
          </wp:inline>
        </w:drawing>
      </w:r>
    </w:p>
    <w:p w14:paraId="68F128C7">
      <w:pPr>
        <w:ind w:firstLine="640" w:firstLineChars="200"/>
        <w:rPr>
          <w:rFonts w:ascii="黑体" w:hAnsi="黑体" w:eastAsia="黑体" w:cs="黑体"/>
        </w:rPr>
      </w:pPr>
    </w:p>
    <w:p w14:paraId="2F3F9917">
      <w:pPr>
        <w:spacing w:line="560" w:lineRule="exact"/>
        <w:ind w:firstLine="640" w:firstLineChars="200"/>
        <w:rPr>
          <w:rFonts w:ascii="黑体" w:hAnsi="黑体" w:eastAsia="黑体" w:cs="黑体"/>
        </w:rPr>
      </w:pPr>
      <w:r>
        <w:rPr>
          <w:rFonts w:hint="eastAsia" w:ascii="黑体" w:hAnsi="黑体" w:eastAsia="黑体" w:cs="黑体"/>
        </w:rPr>
        <w:t>二、遴选展示</w:t>
      </w:r>
    </w:p>
    <w:p w14:paraId="06B51710">
      <w:pPr>
        <w:spacing w:line="600" w:lineRule="exact"/>
        <w:ind w:firstLine="640" w:firstLineChars="200"/>
      </w:pPr>
      <w:r>
        <w:rPr>
          <w:rFonts w:hint="eastAsia"/>
        </w:rPr>
        <w:t>1.市（州）推荐本地亮点突出、特色鲜明的中小学校、幼儿园参与展示推广遴选。</w:t>
      </w:r>
    </w:p>
    <w:p w14:paraId="1ABA4E4F">
      <w:pPr>
        <w:spacing w:line="600" w:lineRule="exact"/>
        <w:ind w:firstLine="640" w:firstLineChars="200"/>
      </w:pPr>
      <w:r>
        <w:rPr>
          <w:rFonts w:hint="eastAsia"/>
        </w:rPr>
        <w:t>2.被推荐学校（幼儿园）</w:t>
      </w:r>
      <w:r>
        <w:t>围绕</w:t>
      </w:r>
      <w:r>
        <w:rPr>
          <w:rFonts w:hint="eastAsia"/>
        </w:rPr>
        <w:t>“典耀中华”主题读书行动要求，以视频形式通过微信公众号报送读书行动经验成效、特色活动开展情况等</w:t>
      </w:r>
      <w:r>
        <w:t>。</w:t>
      </w:r>
      <w:r>
        <w:rPr>
          <w:rFonts w:hint="eastAsia"/>
        </w:rPr>
        <w:t>视频</w:t>
      </w:r>
      <w:r>
        <w:t>格式要求：横屏录制，时长10分钟以内，视频格式MP4、MOV，视频清晰播放流畅。</w:t>
      </w:r>
    </w:p>
    <w:p w14:paraId="29356D05">
      <w:pPr>
        <w:spacing w:line="600" w:lineRule="exact"/>
        <w:ind w:firstLine="640" w:firstLineChars="200"/>
      </w:pPr>
      <w:r>
        <w:rPr>
          <w:rFonts w:hint="eastAsia"/>
        </w:rPr>
        <w:t>微信公众号技术支持</w:t>
      </w:r>
      <w:r>
        <w:t>：李老师18983374970，杨老师18802094106。</w:t>
      </w:r>
    </w:p>
    <w:p w14:paraId="16E2083B">
      <w:bookmarkStart w:id="4" w:name="_GoBack"/>
      <w:bookmarkEnd w:id="4"/>
    </w:p>
    <w:sectPr>
      <w:footerReference r:id="rId4" w:type="default"/>
      <w:pgSz w:w="11907" w:h="16840"/>
      <w:pgMar w:top="2098" w:right="1474" w:bottom="1985" w:left="1588" w:header="1701" w:footer="158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A59867-F0C8-4060-971C-EA3DA6A516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C55668B-D98B-426E-9BD0-492CC4925B83}"/>
  </w:font>
  <w:font w:name="方正小标宋_GBK">
    <w:panose1 w:val="02000000000000000000"/>
    <w:charset w:val="86"/>
    <w:family w:val="script"/>
    <w:pitch w:val="default"/>
    <w:sig w:usb0="A00002BF" w:usb1="38CF7CFA" w:usb2="00082016" w:usb3="00000000" w:csb0="00040001" w:csb1="00000000"/>
    <w:embedRegular r:id="rId3" w:fontKey="{47166696-855A-4CFB-AA22-9B8C7E2C662D}"/>
  </w:font>
  <w:font w:name="楷体_GB2312">
    <w:altName w:val="楷体"/>
    <w:panose1 w:val="02010609030101010101"/>
    <w:charset w:val="86"/>
    <w:family w:val="modern"/>
    <w:pitch w:val="default"/>
    <w:sig w:usb0="00000000" w:usb1="00000000" w:usb2="00000010" w:usb3="00000000" w:csb0="00040000" w:csb1="00000000"/>
    <w:embedRegular r:id="rId4" w:fontKey="{F8BC8E06-BA36-4C3E-B2D6-D56E8C110648}"/>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EE75F">
    <w:pPr>
      <w:pStyle w:val="4"/>
      <w:framePr w:wrap="around" w:vAnchor="text" w:hAnchor="margin" w:xAlign="outside" w:y="1"/>
      <w:ind w:left="320" w:lef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050CBFB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3EB1F">
    <w:pPr>
      <w:pStyle w:val="4"/>
      <w:framePr w:wrap="around" w:vAnchor="text" w:hAnchor="margin" w:xAlign="outside" w:y="1"/>
      <w:ind w:right="320" w:righ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3</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1D4ED15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yYzFjY2UxMWE3MGM2Mzg0ODlmMDM3MWE4MDlmMjQifQ=="/>
    <w:docVar w:name="KGWebUrl" w:val="http://202.61.88.179:80/seeyon/officeservlet"/>
  </w:docVars>
  <w:rsids>
    <w:rsidRoot w:val="00937662"/>
    <w:rsid w:val="0002581B"/>
    <w:rsid w:val="000470F3"/>
    <w:rsid w:val="00077BDD"/>
    <w:rsid w:val="000C39D7"/>
    <w:rsid w:val="000F1ADB"/>
    <w:rsid w:val="00125E76"/>
    <w:rsid w:val="00172C72"/>
    <w:rsid w:val="00191470"/>
    <w:rsid w:val="001B66F3"/>
    <w:rsid w:val="001D2EDA"/>
    <w:rsid w:val="001D4677"/>
    <w:rsid w:val="00230E9C"/>
    <w:rsid w:val="00277F39"/>
    <w:rsid w:val="002B4646"/>
    <w:rsid w:val="002D74AF"/>
    <w:rsid w:val="002E11A0"/>
    <w:rsid w:val="003070AA"/>
    <w:rsid w:val="003C170C"/>
    <w:rsid w:val="0040328D"/>
    <w:rsid w:val="00403CE4"/>
    <w:rsid w:val="00473740"/>
    <w:rsid w:val="004847CB"/>
    <w:rsid w:val="00502423"/>
    <w:rsid w:val="005C0E67"/>
    <w:rsid w:val="005D7D66"/>
    <w:rsid w:val="005E09C0"/>
    <w:rsid w:val="005F386C"/>
    <w:rsid w:val="005F6309"/>
    <w:rsid w:val="00672EC0"/>
    <w:rsid w:val="007030D4"/>
    <w:rsid w:val="00763290"/>
    <w:rsid w:val="00776F49"/>
    <w:rsid w:val="007C5370"/>
    <w:rsid w:val="007E0DE8"/>
    <w:rsid w:val="008C4EB4"/>
    <w:rsid w:val="008D50C4"/>
    <w:rsid w:val="008D5B07"/>
    <w:rsid w:val="00912133"/>
    <w:rsid w:val="00912656"/>
    <w:rsid w:val="00937662"/>
    <w:rsid w:val="009605A8"/>
    <w:rsid w:val="009A7054"/>
    <w:rsid w:val="009B7F1F"/>
    <w:rsid w:val="009C29F6"/>
    <w:rsid w:val="009C43B6"/>
    <w:rsid w:val="00A34483"/>
    <w:rsid w:val="00A46355"/>
    <w:rsid w:val="00A71D98"/>
    <w:rsid w:val="00A765E7"/>
    <w:rsid w:val="00A85C88"/>
    <w:rsid w:val="00A90569"/>
    <w:rsid w:val="00B10E2B"/>
    <w:rsid w:val="00B63761"/>
    <w:rsid w:val="00B770B9"/>
    <w:rsid w:val="00B90494"/>
    <w:rsid w:val="00BE7523"/>
    <w:rsid w:val="00BE7C97"/>
    <w:rsid w:val="00BF30C0"/>
    <w:rsid w:val="00C07BC6"/>
    <w:rsid w:val="00C15D43"/>
    <w:rsid w:val="00C32F1A"/>
    <w:rsid w:val="00C5692F"/>
    <w:rsid w:val="00CC620F"/>
    <w:rsid w:val="00CD03B7"/>
    <w:rsid w:val="00E14BFD"/>
    <w:rsid w:val="00E24058"/>
    <w:rsid w:val="00EA3157"/>
    <w:rsid w:val="00EC2A23"/>
    <w:rsid w:val="00EC6806"/>
    <w:rsid w:val="00EC7462"/>
    <w:rsid w:val="00FA7EEC"/>
    <w:rsid w:val="00FD225D"/>
    <w:rsid w:val="00FF25F0"/>
    <w:rsid w:val="22D41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2"/>
    <w:qFormat/>
    <w:uiPriority w:val="0"/>
    <w:pPr>
      <w:spacing w:beforeAutospacing="1" w:afterAutospacing="1"/>
      <w:jc w:val="left"/>
      <w:outlineLvl w:val="0"/>
    </w:pPr>
    <w:rPr>
      <w:rFonts w:hint="eastAsia" w:ascii="宋体" w:hAnsi="宋体" w:eastAsia="宋体" w:cs="宋体"/>
      <w:b/>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8">
    <w:name w:val="page number"/>
    <w:uiPriority w:val="99"/>
  </w:style>
  <w:style w:type="character" w:customStyle="1" w:styleId="9">
    <w:name w:val="页眉 Char"/>
    <w:link w:val="5"/>
    <w:uiPriority w:val="0"/>
    <w:rPr>
      <w:rFonts w:eastAsia="仿宋_GB2312"/>
      <w:kern w:val="2"/>
      <w:sz w:val="18"/>
      <w:szCs w:val="18"/>
    </w:rPr>
  </w:style>
  <w:style w:type="character" w:customStyle="1" w:styleId="10">
    <w:name w:val="页脚 Char"/>
    <w:link w:val="4"/>
    <w:uiPriority w:val="99"/>
    <w:rPr>
      <w:rFonts w:eastAsia="仿宋_GB2312"/>
      <w:kern w:val="2"/>
      <w:sz w:val="18"/>
      <w:szCs w:val="18"/>
    </w:rPr>
  </w:style>
  <w:style w:type="character" w:customStyle="1" w:styleId="11">
    <w:name w:val="批注框文本 Char"/>
    <w:link w:val="3"/>
    <w:uiPriority w:val="0"/>
    <w:rPr>
      <w:rFonts w:eastAsia="仿宋_GB2312"/>
      <w:kern w:val="2"/>
      <w:sz w:val="18"/>
      <w:szCs w:val="18"/>
    </w:rPr>
  </w:style>
  <w:style w:type="character" w:customStyle="1" w:styleId="12">
    <w:name w:val="标题 1 Char"/>
    <w:basedOn w:val="7"/>
    <w:link w:val="2"/>
    <w:uiPriority w:val="0"/>
    <w:rPr>
      <w:rFonts w:ascii="宋体" w:hAnsi="宋体" w:cs="宋体"/>
      <w:b/>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CUSTOMER</Company>
  <Pages>9</Pages>
  <Words>3250</Words>
  <Characters>3298</Characters>
  <Lines>23</Lines>
  <Paragraphs>6</Paragraphs>
  <TotalTime>0</TotalTime>
  <ScaleCrop>false</ScaleCrop>
  <LinksUpToDate>false</LinksUpToDate>
  <CharactersWithSpaces>3298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2024-06-19T01:57:00Z</dcterms:created>
  <dc:creator>shuibg</dc:creator>
  <cp:lastModifiedBy>Colamilkshake</cp:lastModifiedBy>
  <cp:lastPrinted>2022-08-04T02:19:00Z</cp:lastPrinted>
  <dcterms:modified xsi:type="dcterms:W3CDTF">2024-07-01T08:29:28Z</dcterms:modified>
  <dc:title>中共四川省委教育工作委员会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B26DCCCF4C484ED4834EC35D431C6ED6_13</vt:lpwstr>
  </property>
</Properties>
</file>