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07CE2">
      <w:pPr>
        <w:jc w:val="center"/>
      </w:pPr>
      <w:bookmarkStart w:id="0" w:name="doc_mark"/>
      <w:r>
        <w:rPr>
          <w:rFonts w:hint="eastAsia"/>
        </w:rPr>
        <w:t>川教函〔2025〕162号</w:t>
      </w:r>
      <w:bookmarkEnd w:id="0"/>
      <w:bookmarkStart w:id="7" w:name="_GoBack"/>
      <w:bookmarkEnd w:id="7"/>
    </w:p>
    <w:p w14:paraId="258802BD">
      <w:pPr>
        <w:pStyle w:val="3"/>
        <w:suppressAutoHyphens w:val="0"/>
        <w:spacing w:line="600" w:lineRule="exact"/>
        <w:jc w:val="both"/>
        <w:rPr>
          <w:rFonts w:hint="default" w:ascii="Times New Roman" w:hAnsi="Times New Roman" w:eastAsia="仿宋_GB2312"/>
          <w:kern w:val="2"/>
          <w:sz w:val="32"/>
          <w:szCs w:val="44"/>
        </w:rPr>
      </w:pPr>
      <w:bookmarkStart w:id="1" w:name="Content"/>
      <w:bookmarkEnd w:id="1"/>
    </w:p>
    <w:p w14:paraId="1BB73555">
      <w:pPr>
        <w:pStyle w:val="3"/>
        <w:suppressAutoHyphens w:val="0"/>
        <w:spacing w:line="700" w:lineRule="exact"/>
        <w:jc w:val="center"/>
        <w:rPr>
          <w:rFonts w:hint="default" w:ascii="方正小标宋_GBK" w:hAnsi="黑体" w:eastAsia="方正小标宋_GBK"/>
          <w:kern w:val="2"/>
          <w:sz w:val="44"/>
          <w:szCs w:val="44"/>
        </w:rPr>
      </w:pPr>
      <w:r>
        <w:rPr>
          <w:rFonts w:ascii="方正小标宋_GBK" w:hAnsi="黑体" w:eastAsia="方正小标宋_GBK"/>
          <w:kern w:val="2"/>
          <w:sz w:val="44"/>
          <w:szCs w:val="44"/>
        </w:rPr>
        <w:t>四川省教育厅 四川省财政厅</w:t>
      </w:r>
    </w:p>
    <w:p w14:paraId="3A0065F2">
      <w:pPr>
        <w:pStyle w:val="3"/>
        <w:suppressAutoHyphens w:val="0"/>
        <w:spacing w:line="700" w:lineRule="exact"/>
        <w:jc w:val="center"/>
        <w:rPr>
          <w:rFonts w:hint="default" w:ascii="方正小标宋_GBK" w:hAnsi="黑体" w:eastAsia="方正小标宋_GBK"/>
          <w:kern w:val="2"/>
          <w:sz w:val="44"/>
          <w:szCs w:val="44"/>
        </w:rPr>
      </w:pPr>
      <w:r>
        <w:rPr>
          <w:rFonts w:ascii="方正小标宋_GBK" w:hAnsi="黑体" w:eastAsia="方正小标宋_GBK"/>
          <w:kern w:val="2"/>
          <w:sz w:val="44"/>
          <w:szCs w:val="44"/>
        </w:rPr>
        <w:t>关于做好2025年农村义务教育阶段学校</w:t>
      </w:r>
    </w:p>
    <w:p w14:paraId="70DB075B">
      <w:pPr>
        <w:pStyle w:val="3"/>
        <w:suppressAutoHyphens w:val="0"/>
        <w:spacing w:line="700" w:lineRule="exact"/>
        <w:jc w:val="center"/>
        <w:rPr>
          <w:rFonts w:hint="default" w:ascii="方正小标宋_GBK" w:hAnsi="黑体" w:eastAsia="方正小标宋_GBK"/>
          <w:kern w:val="2"/>
          <w:sz w:val="44"/>
          <w:szCs w:val="44"/>
        </w:rPr>
      </w:pPr>
      <w:r>
        <w:rPr>
          <w:rFonts w:ascii="方正小标宋_GBK" w:hAnsi="黑体" w:eastAsia="方正小标宋_GBK"/>
          <w:kern w:val="2"/>
          <w:sz w:val="44"/>
          <w:szCs w:val="44"/>
        </w:rPr>
        <w:t>教师特设岗位计划实施工作的通知</w:t>
      </w:r>
    </w:p>
    <w:p w14:paraId="6A03549D">
      <w:pPr>
        <w:spacing w:line="600" w:lineRule="exact"/>
        <w:rPr>
          <w:highlight w:val="yellow"/>
        </w:rPr>
      </w:pPr>
    </w:p>
    <w:p w14:paraId="3EC1D991">
      <w:pPr>
        <w:spacing w:line="570" w:lineRule="exact"/>
      </w:pPr>
      <w:r>
        <w:rPr>
          <w:rFonts w:hint="eastAsia"/>
        </w:rPr>
        <w:t>有关市（州）教育主管部门、财政局：</w:t>
      </w:r>
    </w:p>
    <w:p w14:paraId="155C586D">
      <w:pPr>
        <w:spacing w:line="570" w:lineRule="exact"/>
        <w:ind w:firstLine="640" w:firstLineChars="200"/>
        <w:rPr>
          <w:rFonts w:hint="eastAsia"/>
        </w:rPr>
      </w:pPr>
      <w:r>
        <w:rPr>
          <w:rFonts w:hint="eastAsia"/>
        </w:rPr>
        <w:t>为全面落实《教育强国建设规划纲要</w:t>
      </w:r>
      <w:r>
        <w:rPr>
          <w:rFonts w:hint="eastAsia"/>
          <w:lang w:bidi="ar"/>
        </w:rPr>
        <w:t>（2024—2035年）</w:t>
      </w:r>
      <w:r>
        <w:rPr>
          <w:rFonts w:hint="eastAsia"/>
        </w:rPr>
        <w:t>》，推进落实《中共中央 国务院关于弘扬教育家精神加强新时代高素质专业化教师队伍建设的</w:t>
      </w:r>
      <w:bookmarkStart w:id="2" w:name="FunCunProofread1393"/>
      <w:r>
        <w:rPr>
          <w:rFonts w:hint="eastAsia"/>
        </w:rPr>
        <w:t>意见》</w:t>
      </w:r>
      <w:bookmarkEnd w:id="2"/>
      <w:r>
        <w:rPr>
          <w:rFonts w:hint="eastAsia"/>
        </w:rPr>
        <w:t>，加强农村教师队伍建设，推动乡村教育高质量发展，实现巩固拓展脱贫攻坚成果同乡村振兴有效衔接，现就做好</w:t>
      </w:r>
      <w:r>
        <w:rPr>
          <w:rFonts w:hint="eastAsia"/>
          <w:lang w:bidi="ar"/>
        </w:rPr>
        <w:t>2025</w:t>
      </w:r>
      <w:r>
        <w:rPr>
          <w:rFonts w:hint="eastAsia"/>
        </w:rPr>
        <w:t>年农村义务教育阶段学校教师特设岗位计划（以下简称“特岗计划”）实施工作通知如下。</w:t>
      </w:r>
    </w:p>
    <w:p w14:paraId="17A97B4E">
      <w:pPr>
        <w:spacing w:line="570" w:lineRule="exact"/>
        <w:ind w:firstLine="640" w:firstLineChars="200"/>
        <w:rPr>
          <w:rFonts w:hint="eastAsia"/>
        </w:rPr>
      </w:pPr>
    </w:p>
    <w:p w14:paraId="62E0FB66">
      <w:pPr>
        <w:spacing w:line="570" w:lineRule="exact"/>
        <w:ind w:firstLine="640" w:firstLineChars="200"/>
        <w:rPr>
          <w:rFonts w:ascii="黑体" w:hAnsi="黑体" w:eastAsia="黑体"/>
        </w:rPr>
      </w:pPr>
      <w:r>
        <w:rPr>
          <w:rFonts w:hint="eastAsia" w:ascii="黑体" w:hAnsi="黑体" w:eastAsia="黑体"/>
        </w:rPr>
        <w:t>一、政策要点</w:t>
      </w:r>
    </w:p>
    <w:p w14:paraId="59EA405E">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（一）实施范围。</w:t>
      </w:r>
      <w:r>
        <w:rPr>
          <w:rFonts w:ascii="Times New Roman" w:hAnsi="Times New Roman" w:eastAsia="仿宋_GB2312"/>
          <w:kern w:val="2"/>
          <w:sz w:val="32"/>
          <w:szCs w:val="32"/>
        </w:rPr>
        <w:t>2025年“特岗计划”实施范围为原集中连片特殊困难地区、国家扶贫开发工作重点县和省级扶贫开发工作重点县，原“两基”攻坚县，有特殊困难的少数民族自治县和少小民族县。</w:t>
      </w:r>
    </w:p>
    <w:p w14:paraId="67272464">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（二）招聘数量。</w:t>
      </w:r>
      <w:r>
        <w:rPr>
          <w:rFonts w:ascii="Times New Roman" w:hAnsi="Times New Roman" w:eastAsia="仿宋_GB2312"/>
          <w:kern w:val="2"/>
          <w:sz w:val="32"/>
          <w:szCs w:val="32"/>
        </w:rPr>
        <w:t>2025年计划招聘四川省“特岗计划”教师395名，相关市（州）的招聘名额见2025年四川省“特岗计划”各地设岗名额分配表（附件）。</w:t>
      </w:r>
    </w:p>
    <w:p w14:paraId="0674174A">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（三）招聘条件。</w:t>
      </w:r>
      <w:r>
        <w:rPr>
          <w:rFonts w:ascii="Times New Roman" w:hAnsi="Times New Roman" w:eastAsia="仿宋_GB2312"/>
          <w:kern w:val="2"/>
          <w:sz w:val="32"/>
          <w:szCs w:val="32"/>
        </w:rPr>
        <w:t>1.符合招聘岗位要求，具有相应的教师资格证书，应符合《中华人民共和国教师法》《教师资格条例》等法律法规规定的普通话水平、身体条件和心理条件。符合新时代中小学教师职业行为十项准则要求，无刑事犯罪记录和其他不得聘用的违法记录。2.一般要求本科及以上学历，以师范类专业为主。3.年龄不超过32周岁。4.参加过“大学生志愿服务西部计划”、有从教经历的志愿者和参加过半年以上实习支教的师范院校毕业生同等条件下优先录取。5.支持鼓励符合条件的优秀退役军人、优秀退役运动员到中小学任教，可综合考虑服务年限等因素相应放宽年龄限制。</w:t>
      </w:r>
    </w:p>
    <w:p w14:paraId="78B3318B">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（四）工作重点。</w:t>
      </w:r>
      <w:r>
        <w:rPr>
          <w:rFonts w:ascii="Times New Roman" w:hAnsi="Times New Roman" w:eastAsia="仿宋_GB2312"/>
          <w:kern w:val="2"/>
          <w:sz w:val="32"/>
          <w:szCs w:val="32"/>
        </w:rPr>
        <w:t>重点向原“三区三州”、国家乡村振兴重点帮扶县、少数民族地区等地区倾斜；持续优化教师队伍结构，进一步加强道德与法治、体育与健康、外语、科学、劳动、艺术、信息科技、心理健康、特殊教育等紧缺薄弱学科教师的补充。</w:t>
      </w:r>
    </w:p>
    <w:p w14:paraId="552AB488">
      <w:pPr>
        <w:spacing w:line="570" w:lineRule="exact"/>
        <w:ind w:firstLine="640" w:firstLineChars="200"/>
        <w:rPr>
          <w:rFonts w:ascii="黑体" w:hAnsi="黑体" w:eastAsia="黑体"/>
        </w:rPr>
      </w:pPr>
      <w:r>
        <w:rPr>
          <w:rFonts w:hint="eastAsia" w:ascii="黑体" w:hAnsi="黑体" w:eastAsia="黑体"/>
        </w:rPr>
        <w:t>二、工作要求</w:t>
      </w:r>
    </w:p>
    <w:p w14:paraId="4984BF6B">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（一）科学统筹特岗教师招聘。</w:t>
      </w:r>
      <w:r>
        <w:rPr>
          <w:rFonts w:ascii="Times New Roman" w:hAnsi="Times New Roman" w:eastAsia="仿宋_GB2312"/>
          <w:kern w:val="2"/>
          <w:sz w:val="32"/>
          <w:szCs w:val="32"/>
        </w:rPr>
        <w:t>各地要严格按照核定的岗位数量，结合本地实际情况，及时广泛发布招聘信息，提前安排，确保7月底前完成招聘工作。突出对教师专业素质和教学能力的考察，有条件、有需要的地方可以进行专业能力测试。边远艰苦地区和急需紧缺专业的特岗教师招聘，可以结合实际情况适当降低开考比例、或不设开考比例，采取面试、直接考察的方式公开招聘，划定成绩合格线。对于特别边远艰苦、教师流失较严重的地区可向本地生源倾斜。</w:t>
      </w:r>
    </w:p>
    <w:p w14:paraId="446F420E">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（二）系统开展特岗教师培训工作。</w:t>
      </w:r>
      <w:r>
        <w:rPr>
          <w:rFonts w:ascii="Times New Roman" w:hAnsi="Times New Roman" w:eastAsia="仿宋_GB2312"/>
          <w:kern w:val="2"/>
          <w:sz w:val="32"/>
          <w:szCs w:val="32"/>
        </w:rPr>
        <w:t>各地要对标教育强国建设规划目标，围绕高素质专业化教师队伍建设，制定培训规划，为特岗教师提供高质量的培训研修服务。强化教育家精神引领，将师德师风和教育家精神融入教师培训全过程，规范教师从教行为，落实立德树人根本任务；加强岗前职后培训，按照特岗教师实际需求优化培训内容和方式，开展针对性的教育和培训，鼓励将特岗教师纳入当地各级名师工作室进行重点培养；加强非师范专业特岗教师教育教学技能培训，提升教育教学基本素质与能力。</w:t>
      </w:r>
    </w:p>
    <w:p w14:paraId="5EBBEEB5">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（三）严格规范特岗教师管理。</w:t>
      </w:r>
      <w:r>
        <w:rPr>
          <w:rFonts w:ascii="Times New Roman" w:hAnsi="Times New Roman" w:eastAsia="仿宋_GB2312"/>
          <w:kern w:val="2"/>
          <w:sz w:val="32"/>
          <w:szCs w:val="32"/>
        </w:rPr>
        <w:t>加强留任管理，严格按照有关文件精神，保证三年服务期满、考核合格且愿意留任的特岗教师及时入编并落实工作岗位，做好相关人事、工资关系等接转工作、连续计算工龄、教龄，不再实行试用期，做好服务证书编制和发放工作。加强信息管理，教育部将继续把“全国教师管理信息系统”数据作为“特岗计划”实施情况、核定招聘计划、特岗教师硕士研究生考试加分资格的基础数据。各地要扎实做好数据录入和更新工作，</w:t>
      </w:r>
      <w:bookmarkStart w:id="3" w:name="FunCunProofread14241"/>
      <w:r>
        <w:rPr>
          <w:rFonts w:ascii="Times New Roman" w:hAnsi="Times New Roman" w:eastAsia="仿宋_GB2312"/>
          <w:kern w:val="2"/>
          <w:sz w:val="32"/>
          <w:szCs w:val="32"/>
        </w:rPr>
        <w:t>将地</w:t>
      </w:r>
      <w:bookmarkEnd w:id="3"/>
      <w:r>
        <w:rPr>
          <w:rFonts w:ascii="Times New Roman" w:hAnsi="Times New Roman" w:eastAsia="仿宋_GB2312"/>
          <w:kern w:val="2"/>
          <w:sz w:val="32"/>
          <w:szCs w:val="32"/>
        </w:rPr>
        <w:t>方特岗计划有关信息纳入数据录入范围，确保数据库完整准确。</w:t>
      </w:r>
    </w:p>
    <w:p w14:paraId="79411A79">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（四）做好特岗教师待遇保障。</w:t>
      </w:r>
      <w:r>
        <w:rPr>
          <w:rFonts w:ascii="Times New Roman" w:hAnsi="Times New Roman" w:eastAsia="仿宋_GB2312"/>
          <w:kern w:val="2"/>
          <w:sz w:val="32"/>
          <w:szCs w:val="32"/>
        </w:rPr>
        <w:t>中央财政继续对中央“特岗计划”教师给予工资性补助，标准为年人均4.18万元。教育部、财政部将根据各地2025年设岗计划和往届特岗教师在岗人数核拨2025年“特岗计划”中央补助经费。各地要强化主体责任，确保特岗教师工资按时足额发放，按规定参加社会保险，同等条件下在薪酬待遇、职称评聘、评先评优、年度考核等方面享受与当地公办学校在编教师同等待遇。按照国家有关规定落实好服务期满特岗教师相关优惠政策。落实好周转宿舍等安排，帮助解决特岗教师工作生活中的实际困难。</w:t>
      </w:r>
    </w:p>
    <w:p w14:paraId="04B1983B">
      <w:pPr>
        <w:pStyle w:val="3"/>
        <w:suppressAutoHyphens w:val="0"/>
        <w:spacing w:line="570" w:lineRule="exact"/>
        <w:ind w:firstLine="640" w:firstLineChars="200"/>
        <w:jc w:val="both"/>
        <w:rPr>
          <w:rFonts w:hint="default" w:ascii="Times New Roman" w:hAnsi="Times New Roman" w:eastAsia="仿宋_GB2312"/>
          <w:kern w:val="2"/>
          <w:sz w:val="32"/>
          <w:szCs w:val="32"/>
        </w:rPr>
      </w:pPr>
      <w:r>
        <w:rPr>
          <w:rFonts w:ascii="楷体_GB2312" w:hAnsi="Times New Roman" w:eastAsia="楷体_GB2312"/>
          <w:kern w:val="2"/>
          <w:sz w:val="32"/>
          <w:szCs w:val="32"/>
        </w:rPr>
        <w:t>（五）加强实施工作推进指导。</w:t>
      </w:r>
      <w:r>
        <w:rPr>
          <w:rFonts w:ascii="Times New Roman" w:hAnsi="Times New Roman" w:eastAsia="仿宋_GB2312"/>
          <w:kern w:val="2"/>
          <w:sz w:val="32"/>
          <w:szCs w:val="32"/>
        </w:rPr>
        <w:t>各地要严格实施“特岗计划”，落实教师待遇保障政策，加大对按照核定计划和岗位要求开展教师招聘、特岗教师工资按时足额发放、“五险一金”缴纳和服务期满留任特岗教师入编手续及时办理等情况的摸排力度，并抓好政策落实。各地在摸清拟设岗县教师队伍实际情况和需求的基础上，认真研究提出2026年需求数量，并于2025年12月31日前通过全国教师管理信息系统报送。</w:t>
      </w:r>
    </w:p>
    <w:p w14:paraId="2824D379">
      <w:pPr>
        <w:ind w:firstLine="640" w:firstLineChars="200"/>
      </w:pPr>
    </w:p>
    <w:p w14:paraId="358C45B9">
      <w:pPr>
        <w:spacing w:line="570" w:lineRule="exact"/>
        <w:ind w:firstLine="640" w:firstLineChars="200"/>
      </w:pPr>
      <w:r>
        <w:rPr>
          <w:rFonts w:hint="eastAsia"/>
        </w:rPr>
        <w:t>附件：2025年四川省“特岗计划”各地设岗名额分配表</w:t>
      </w:r>
    </w:p>
    <w:p w14:paraId="12C16BBB">
      <w:pPr>
        <w:spacing w:line="570" w:lineRule="exact"/>
        <w:ind w:firstLine="640" w:firstLineChars="200"/>
      </w:pPr>
    </w:p>
    <w:p w14:paraId="0E26DA2A">
      <w:pPr>
        <w:spacing w:line="570" w:lineRule="exact"/>
        <w:ind w:firstLine="640" w:firstLineChars="200"/>
      </w:pPr>
    </w:p>
    <w:p w14:paraId="3F420F14">
      <w:pPr>
        <w:spacing w:line="570" w:lineRule="exact"/>
        <w:ind w:firstLine="640" w:firstLineChars="200"/>
      </w:pPr>
    </w:p>
    <w:p w14:paraId="5485A27A">
      <w:pPr>
        <w:spacing w:line="570" w:lineRule="exact"/>
        <w:jc w:val="center"/>
      </w:pPr>
      <w:bookmarkStart w:id="4" w:name="FunCunProofread191515"/>
      <w:r>
        <w:rPr>
          <w:rFonts w:hint="eastAsia"/>
        </w:rPr>
        <w:t>四川省教育厅                  四川省财政厅</w:t>
      </w:r>
      <w:bookmarkEnd w:id="4"/>
    </w:p>
    <w:p w14:paraId="48DAE9AD">
      <w:pPr>
        <w:spacing w:line="570" w:lineRule="exact"/>
        <w:ind w:right="765" w:rightChars="239" w:firstLine="640" w:firstLineChars="200"/>
        <w:jc w:val="right"/>
      </w:pPr>
      <w:r>
        <w:rPr>
          <w:rFonts w:hint="eastAsia"/>
        </w:rPr>
        <w:t>2025年</w:t>
      </w:r>
      <w:bookmarkStart w:id="5" w:name="FunCunProofread19364"/>
      <w:r>
        <w:rPr>
          <w:rFonts w:hint="eastAsia"/>
        </w:rPr>
        <w:t>6月3日</w:t>
      </w:r>
      <w:bookmarkEnd w:id="5"/>
    </w:p>
    <w:p w14:paraId="5890AD3A">
      <w:pPr>
        <w:spacing w:line="600" w:lineRule="exact"/>
        <w:rPr>
          <w:rFonts w:ascii="黑体" w:hAnsi="黑体" w:eastAsia="黑体"/>
        </w:rPr>
      </w:pPr>
      <w:r>
        <w:rPr>
          <w:rFonts w:hint="eastAsia"/>
        </w:rPr>
        <w:br w:type="page"/>
      </w:r>
      <w:bookmarkStart w:id="6" w:name="FunCunProofread19422"/>
      <w:r>
        <w:rPr>
          <w:rFonts w:ascii="黑体" w:hAnsi="黑体" w:eastAsia="黑体"/>
        </w:rPr>
        <w:t>附件</w:t>
      </w:r>
      <w:bookmarkEnd w:id="6"/>
    </w:p>
    <w:p w14:paraId="7F62BD3E">
      <w:pPr>
        <w:spacing w:line="600" w:lineRule="exact"/>
        <w:ind w:firstLine="640" w:firstLineChars="200"/>
        <w:rPr>
          <w:szCs w:val="40"/>
        </w:rPr>
      </w:pPr>
    </w:p>
    <w:p w14:paraId="250D4D7D">
      <w:pPr>
        <w:jc w:val="center"/>
        <w:rPr>
          <w:rFonts w:ascii="方正小标宋_GBK" w:hAnsi="黑体" w:eastAsia="方正小标宋_GBK" w:cs="方正小标宋_GBK"/>
          <w:sz w:val="40"/>
          <w:szCs w:val="40"/>
        </w:rPr>
      </w:pPr>
      <w:r>
        <w:rPr>
          <w:rFonts w:hint="eastAsia" w:ascii="方正小标宋_GBK" w:hAnsi="黑体" w:eastAsia="方正小标宋_GBK" w:cs="方正小标宋_GBK"/>
          <w:sz w:val="40"/>
          <w:szCs w:val="40"/>
        </w:rPr>
        <w:t>2025年四川省“特岗计划”各地设岗</w:t>
      </w:r>
    </w:p>
    <w:p w14:paraId="6B0F9457">
      <w:pPr>
        <w:jc w:val="center"/>
        <w:rPr>
          <w:rFonts w:ascii="方正小标宋_GBK" w:hAnsi="黑体" w:eastAsia="方正小标宋_GBK" w:cs="方正小标宋_GBK"/>
          <w:sz w:val="40"/>
          <w:szCs w:val="40"/>
        </w:rPr>
      </w:pPr>
      <w:r>
        <w:rPr>
          <w:rFonts w:hint="eastAsia" w:ascii="方正小标宋_GBK" w:hAnsi="黑体" w:eastAsia="方正小标宋_GBK" w:cs="方正小标宋_GBK"/>
          <w:sz w:val="40"/>
          <w:szCs w:val="40"/>
        </w:rPr>
        <w:t>名额分配表</w:t>
      </w:r>
    </w:p>
    <w:p w14:paraId="33B495F4">
      <w:pPr>
        <w:ind w:firstLine="640" w:firstLineChars="200"/>
        <w:rPr>
          <w:szCs w:val="4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BC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2DA52781">
            <w:pPr>
              <w:jc w:val="center"/>
              <w:rPr>
                <w:rFonts w:eastAsia="黑体"/>
                <w:bCs/>
                <w:color w:val="000000"/>
                <w:sz w:val="28"/>
                <w:szCs w:val="28"/>
              </w:rPr>
            </w:pPr>
            <w:r>
              <w:rPr>
                <w:rFonts w:eastAsia="黑体"/>
                <w:bCs/>
                <w:color w:val="000000"/>
                <w:sz w:val="28"/>
                <w:szCs w:val="28"/>
              </w:rPr>
              <w:t>市（州）</w:t>
            </w:r>
          </w:p>
        </w:tc>
        <w:tc>
          <w:tcPr>
            <w:tcW w:w="4261" w:type="dxa"/>
            <w:vAlign w:val="center"/>
          </w:tcPr>
          <w:p w14:paraId="227611ED">
            <w:pPr>
              <w:jc w:val="center"/>
              <w:rPr>
                <w:rFonts w:eastAsia="黑体"/>
                <w:bCs/>
                <w:color w:val="000000"/>
                <w:sz w:val="28"/>
                <w:szCs w:val="28"/>
              </w:rPr>
            </w:pPr>
            <w:r>
              <w:rPr>
                <w:rFonts w:eastAsia="黑体"/>
                <w:bCs/>
                <w:color w:val="000000"/>
                <w:sz w:val="28"/>
                <w:szCs w:val="28"/>
              </w:rPr>
              <w:t>设岗数量（个）</w:t>
            </w:r>
          </w:p>
        </w:tc>
      </w:tr>
      <w:tr w14:paraId="6F8C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3EA3D091">
            <w:pPr>
              <w:jc w:val="center"/>
              <w:rPr>
                <w:rFonts w:eastAsia="仿宋_GB2312"/>
                <w:color w:val="000000"/>
                <w:sz w:val="28"/>
                <w:szCs w:val="28"/>
              </w:rPr>
            </w:pPr>
            <w:r>
              <w:rPr>
                <w:rFonts w:eastAsia="仿宋_GB2312"/>
                <w:color w:val="000000"/>
                <w:sz w:val="28"/>
                <w:szCs w:val="28"/>
              </w:rPr>
              <w:t>成都市</w:t>
            </w:r>
          </w:p>
        </w:tc>
        <w:tc>
          <w:tcPr>
            <w:tcW w:w="4261" w:type="dxa"/>
            <w:vAlign w:val="center"/>
          </w:tcPr>
          <w:p w14:paraId="2B3FAC20">
            <w:pPr>
              <w:jc w:val="center"/>
              <w:rPr>
                <w:rFonts w:eastAsia="仿宋_GB2312"/>
                <w:color w:val="000000"/>
                <w:sz w:val="28"/>
                <w:szCs w:val="28"/>
              </w:rPr>
            </w:pPr>
            <w:r>
              <w:rPr>
                <w:rFonts w:eastAsia="仿宋_GB2312"/>
                <w:color w:val="000000"/>
                <w:sz w:val="28"/>
                <w:szCs w:val="28"/>
              </w:rPr>
              <w:t>8</w:t>
            </w:r>
          </w:p>
        </w:tc>
      </w:tr>
      <w:tr w14:paraId="4159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48859EC9">
            <w:pPr>
              <w:jc w:val="center"/>
              <w:rPr>
                <w:rFonts w:eastAsia="仿宋_GB2312"/>
                <w:color w:val="000000"/>
                <w:sz w:val="28"/>
                <w:szCs w:val="28"/>
              </w:rPr>
            </w:pPr>
            <w:r>
              <w:rPr>
                <w:rFonts w:eastAsia="仿宋_GB2312"/>
                <w:color w:val="000000"/>
                <w:sz w:val="28"/>
                <w:szCs w:val="28"/>
              </w:rPr>
              <w:t>绵阳市</w:t>
            </w:r>
          </w:p>
        </w:tc>
        <w:tc>
          <w:tcPr>
            <w:tcW w:w="4261" w:type="dxa"/>
            <w:vAlign w:val="center"/>
          </w:tcPr>
          <w:p w14:paraId="23FA394F">
            <w:pPr>
              <w:jc w:val="center"/>
              <w:rPr>
                <w:rFonts w:eastAsia="仿宋_GB2312"/>
                <w:color w:val="000000"/>
                <w:sz w:val="28"/>
                <w:szCs w:val="28"/>
              </w:rPr>
            </w:pPr>
            <w:r>
              <w:rPr>
                <w:rFonts w:eastAsia="仿宋_GB2312"/>
                <w:color w:val="000000"/>
                <w:sz w:val="28"/>
                <w:szCs w:val="28"/>
              </w:rPr>
              <w:t>282</w:t>
            </w:r>
          </w:p>
        </w:tc>
      </w:tr>
      <w:tr w14:paraId="4A19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28322675">
            <w:pPr>
              <w:jc w:val="center"/>
              <w:rPr>
                <w:rFonts w:eastAsia="仿宋_GB2312"/>
                <w:color w:val="000000"/>
                <w:sz w:val="28"/>
                <w:szCs w:val="28"/>
              </w:rPr>
            </w:pPr>
            <w:r>
              <w:rPr>
                <w:rFonts w:eastAsia="仿宋_GB2312"/>
                <w:color w:val="000000"/>
                <w:sz w:val="28"/>
                <w:szCs w:val="28"/>
              </w:rPr>
              <w:t>广元市</w:t>
            </w:r>
          </w:p>
        </w:tc>
        <w:tc>
          <w:tcPr>
            <w:tcW w:w="4261" w:type="dxa"/>
            <w:vAlign w:val="center"/>
          </w:tcPr>
          <w:p w14:paraId="18745ABE">
            <w:pPr>
              <w:jc w:val="center"/>
              <w:rPr>
                <w:rFonts w:eastAsia="仿宋_GB2312"/>
                <w:color w:val="000000"/>
                <w:sz w:val="28"/>
                <w:szCs w:val="28"/>
              </w:rPr>
            </w:pPr>
            <w:r>
              <w:rPr>
                <w:rFonts w:eastAsia="仿宋_GB2312"/>
                <w:color w:val="000000"/>
                <w:sz w:val="28"/>
                <w:szCs w:val="28"/>
              </w:rPr>
              <w:t>65</w:t>
            </w:r>
          </w:p>
        </w:tc>
      </w:tr>
      <w:tr w14:paraId="2781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0EF22CB7">
            <w:pPr>
              <w:jc w:val="center"/>
              <w:rPr>
                <w:rFonts w:eastAsia="仿宋_GB2312"/>
                <w:color w:val="000000"/>
                <w:sz w:val="28"/>
                <w:szCs w:val="28"/>
              </w:rPr>
            </w:pPr>
            <w:r>
              <w:rPr>
                <w:rFonts w:eastAsia="仿宋_GB2312"/>
                <w:color w:val="000000"/>
                <w:sz w:val="28"/>
                <w:szCs w:val="28"/>
              </w:rPr>
              <w:t>乐山市</w:t>
            </w:r>
          </w:p>
        </w:tc>
        <w:tc>
          <w:tcPr>
            <w:tcW w:w="4261" w:type="dxa"/>
            <w:vAlign w:val="center"/>
          </w:tcPr>
          <w:p w14:paraId="2877F194">
            <w:pPr>
              <w:jc w:val="center"/>
              <w:rPr>
                <w:rFonts w:eastAsia="仿宋_GB2312"/>
                <w:color w:val="000000"/>
                <w:sz w:val="28"/>
                <w:szCs w:val="28"/>
              </w:rPr>
            </w:pPr>
            <w:r>
              <w:rPr>
                <w:rFonts w:eastAsia="仿宋_GB2312"/>
                <w:color w:val="000000"/>
                <w:sz w:val="28"/>
                <w:szCs w:val="28"/>
              </w:rPr>
              <w:t>14</w:t>
            </w:r>
          </w:p>
        </w:tc>
      </w:tr>
      <w:tr w14:paraId="7DFA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72A1CBFD">
            <w:pPr>
              <w:jc w:val="center"/>
              <w:rPr>
                <w:rFonts w:eastAsia="仿宋_GB2312"/>
                <w:color w:val="000000"/>
                <w:sz w:val="28"/>
                <w:szCs w:val="28"/>
              </w:rPr>
            </w:pPr>
            <w:r>
              <w:rPr>
                <w:rFonts w:eastAsia="仿宋_GB2312"/>
                <w:color w:val="000000"/>
                <w:sz w:val="28"/>
                <w:szCs w:val="28"/>
              </w:rPr>
              <w:t>宜宾市</w:t>
            </w:r>
          </w:p>
        </w:tc>
        <w:tc>
          <w:tcPr>
            <w:tcW w:w="4261" w:type="dxa"/>
            <w:vAlign w:val="center"/>
          </w:tcPr>
          <w:p w14:paraId="61419322">
            <w:pPr>
              <w:jc w:val="center"/>
              <w:rPr>
                <w:rFonts w:eastAsia="仿宋_GB2312"/>
                <w:color w:val="000000"/>
                <w:sz w:val="28"/>
                <w:szCs w:val="28"/>
              </w:rPr>
            </w:pPr>
            <w:r>
              <w:rPr>
                <w:rFonts w:eastAsia="仿宋_GB2312"/>
                <w:color w:val="000000"/>
                <w:sz w:val="28"/>
                <w:szCs w:val="28"/>
              </w:rPr>
              <w:t>20</w:t>
            </w:r>
          </w:p>
        </w:tc>
      </w:tr>
      <w:tr w14:paraId="29F6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20DB35B8">
            <w:pPr>
              <w:jc w:val="center"/>
              <w:rPr>
                <w:rFonts w:eastAsia="仿宋_GB2312"/>
                <w:color w:val="000000"/>
                <w:sz w:val="28"/>
                <w:szCs w:val="28"/>
              </w:rPr>
            </w:pPr>
            <w:r>
              <w:rPr>
                <w:rFonts w:eastAsia="仿宋_GB2312"/>
                <w:color w:val="000000"/>
                <w:sz w:val="28"/>
                <w:szCs w:val="28"/>
              </w:rPr>
              <w:t>广安市</w:t>
            </w:r>
          </w:p>
        </w:tc>
        <w:tc>
          <w:tcPr>
            <w:tcW w:w="4261" w:type="dxa"/>
            <w:vAlign w:val="center"/>
          </w:tcPr>
          <w:p w14:paraId="1AE1E4A8">
            <w:pPr>
              <w:jc w:val="center"/>
              <w:rPr>
                <w:rFonts w:eastAsia="仿宋_GB2312"/>
                <w:color w:val="000000"/>
                <w:sz w:val="28"/>
                <w:szCs w:val="28"/>
              </w:rPr>
            </w:pPr>
            <w:r>
              <w:rPr>
                <w:rFonts w:eastAsia="仿宋_GB2312"/>
                <w:color w:val="000000"/>
                <w:sz w:val="28"/>
                <w:szCs w:val="28"/>
              </w:rPr>
              <w:t>6</w:t>
            </w:r>
          </w:p>
        </w:tc>
      </w:tr>
      <w:tr w14:paraId="50C8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1" w:type="dxa"/>
            <w:vAlign w:val="center"/>
          </w:tcPr>
          <w:p w14:paraId="3E810D10">
            <w:pPr>
              <w:jc w:val="center"/>
              <w:rPr>
                <w:rFonts w:eastAsia="仿宋_GB2312"/>
                <w:color w:val="000000"/>
                <w:sz w:val="28"/>
                <w:szCs w:val="28"/>
              </w:rPr>
            </w:pPr>
            <w:r>
              <w:rPr>
                <w:rFonts w:eastAsia="仿宋_GB2312"/>
                <w:color w:val="000000"/>
                <w:sz w:val="28"/>
                <w:szCs w:val="28"/>
              </w:rPr>
              <w:t>总计</w:t>
            </w:r>
          </w:p>
        </w:tc>
        <w:tc>
          <w:tcPr>
            <w:tcW w:w="4261" w:type="dxa"/>
            <w:vAlign w:val="center"/>
          </w:tcPr>
          <w:p w14:paraId="6B22E99A">
            <w:pPr>
              <w:jc w:val="center"/>
              <w:rPr>
                <w:rFonts w:eastAsia="仿宋_GB2312"/>
                <w:color w:val="000000"/>
                <w:sz w:val="28"/>
                <w:szCs w:val="28"/>
              </w:rPr>
            </w:pPr>
            <w:r>
              <w:rPr>
                <w:rFonts w:eastAsia="仿宋_GB2312"/>
                <w:color w:val="000000"/>
                <w:sz w:val="28"/>
                <w:szCs w:val="28"/>
              </w:rPr>
              <w:t>395</w:t>
            </w:r>
          </w:p>
        </w:tc>
      </w:tr>
    </w:tbl>
    <w:p w14:paraId="658874D0">
      <w:pPr>
        <w:jc w:val="center"/>
        <w:rPr>
          <w:rFonts w:eastAsia="方正小标宋_GBK"/>
          <w:color w:val="000000"/>
          <w:sz w:val="40"/>
          <w:szCs w:val="40"/>
        </w:rPr>
      </w:pPr>
    </w:p>
    <w:p w14:paraId="77E4B102">
      <w:pPr>
        <w:widowControl/>
        <w:jc w:val="left"/>
      </w:pPr>
      <w:r>
        <w:rPr>
          <w:rFonts w:eastAsia="方正小标宋_GBK"/>
          <w:color w:val="000000"/>
          <w:sz w:val="40"/>
          <w:szCs w:val="40"/>
        </w:rPr>
        <w:br w:type="page"/>
      </w:r>
    </w:p>
    <w:p w14:paraId="58AE60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C3551"/>
    <w:rsid w:val="1DFC3551"/>
    <w:rsid w:val="795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kern w:val="0"/>
      <w:sz w:val="24"/>
      <w:szCs w:val="24"/>
    </w:rPr>
  </w:style>
  <w:style w:type="table" w:styleId="5">
    <w:name w:val="Table Grid"/>
    <w:basedOn w:val="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1929</Words>
  <Characters>1996</Characters>
  <Lines>0</Lines>
  <Paragraphs>0</Paragraphs>
  <TotalTime>1</TotalTime>
  <ScaleCrop>false</ScaleCrop>
  <LinksUpToDate>false</LinksUpToDate>
  <CharactersWithSpaces>2016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2025-06-25T02:46:00Z</dcterms:created>
  <dc:creator>Colamilkshake</dc:creator>
  <cp:lastModifiedBy>Colamilkshake</cp:lastModifiedBy>
  <dcterms:modified xsi:type="dcterms:W3CDTF">2025-06-25T02:49:33Z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F17128C5574B49478B601876D7C40DD0_11</vt:lpwstr>
  </property>
  <property fmtid="{D5CDD505-2E9C-101B-9397-08002B2CF9AE}" pid="4" name="KSOTemplateDocerSaveRecord">
    <vt:lpwstr>eyJoZGlkIjoiYWU4ODcyZTJlZWFiNjFhYmQzMTcxZWUwODQ0OGI0YmEiLCJ1c2VySWQiOiI3NTU1Mjk0MzMifQ==</vt:lpwstr>
  </property>
</Properties>
</file>